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C8D" w:rsidRDefault="008B4C8D" w:rsidP="008B4C8D">
      <w:pPr>
        <w:pStyle w:val="Title"/>
        <w:rPr>
          <w:b/>
          <w:bCs w:val="0"/>
          <w:sz w:val="24"/>
        </w:rPr>
      </w:pPr>
      <w:r>
        <w:rPr>
          <w:b/>
          <w:bCs w:val="0"/>
        </w:rPr>
        <w:t>FLSA EXEMPTION ANALYSIS – OUTSIDE SALES</w:t>
      </w:r>
    </w:p>
    <w:p w:rsidR="008B4C8D" w:rsidRDefault="008B4C8D" w:rsidP="008B4C8D">
      <w:pPr>
        <w:jc w:val="center"/>
      </w:pPr>
    </w:p>
    <w:p w:rsidR="008B4C8D" w:rsidRDefault="008B4C8D" w:rsidP="008B4C8D">
      <w:pPr>
        <w:jc w:val="center"/>
      </w:pPr>
    </w:p>
    <w:tbl>
      <w:tblPr>
        <w:tblW w:w="8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3780"/>
        <w:gridCol w:w="3961"/>
      </w:tblGrid>
      <w:tr w:rsidR="008B4C8D" w:rsidTr="008B4C8D">
        <w:trPr>
          <w:trHeight w:val="330"/>
        </w:trPr>
        <w:tc>
          <w:tcPr>
            <w:tcW w:w="1098" w:type="dxa"/>
            <w:tcBorders>
              <w:top w:val="single" w:sz="4" w:space="0" w:color="auto"/>
              <w:left w:val="single" w:sz="4" w:space="0" w:color="auto"/>
              <w:bottom w:val="single" w:sz="4" w:space="0" w:color="auto"/>
              <w:right w:val="single" w:sz="4" w:space="0" w:color="auto"/>
            </w:tcBorders>
            <w:shd w:val="clear" w:color="auto" w:fill="E6E6E6"/>
            <w:hideMark/>
          </w:tcPr>
          <w:p w:rsidR="008B4C8D" w:rsidRDefault="008B4C8D">
            <w:pPr>
              <w:rPr>
                <w:b/>
                <w:bCs w:val="0"/>
              </w:rPr>
            </w:pPr>
            <w:r>
              <w:rPr>
                <w:b/>
                <w:bCs w:val="0"/>
              </w:rPr>
              <w:t>Date:</w:t>
            </w:r>
          </w:p>
        </w:tc>
        <w:tc>
          <w:tcPr>
            <w:tcW w:w="3780" w:type="dxa"/>
            <w:tcBorders>
              <w:top w:val="single" w:sz="4" w:space="0" w:color="auto"/>
              <w:left w:val="single" w:sz="4" w:space="0" w:color="auto"/>
              <w:bottom w:val="single" w:sz="4" w:space="0" w:color="auto"/>
              <w:right w:val="single" w:sz="4" w:space="0" w:color="auto"/>
            </w:tcBorders>
            <w:shd w:val="clear" w:color="auto" w:fill="E6E6E6"/>
            <w:hideMark/>
          </w:tcPr>
          <w:p w:rsidR="008B4C8D" w:rsidRDefault="008B4C8D">
            <w:pPr>
              <w:rPr>
                <w:b/>
                <w:bCs w:val="0"/>
              </w:rPr>
            </w:pPr>
            <w:r>
              <w:rPr>
                <w:b/>
                <w:bCs w:val="0"/>
              </w:rPr>
              <w:t>Position Title:</w:t>
            </w:r>
          </w:p>
        </w:tc>
        <w:tc>
          <w:tcPr>
            <w:tcW w:w="3961" w:type="dxa"/>
            <w:tcBorders>
              <w:top w:val="single" w:sz="4" w:space="0" w:color="auto"/>
              <w:left w:val="single" w:sz="4" w:space="0" w:color="auto"/>
              <w:bottom w:val="single" w:sz="4" w:space="0" w:color="auto"/>
              <w:right w:val="single" w:sz="4" w:space="0" w:color="auto"/>
            </w:tcBorders>
            <w:shd w:val="clear" w:color="auto" w:fill="E6E6E6"/>
            <w:hideMark/>
          </w:tcPr>
          <w:p w:rsidR="008B4C8D" w:rsidRDefault="008B4C8D">
            <w:pPr>
              <w:rPr>
                <w:b/>
                <w:bCs w:val="0"/>
              </w:rPr>
            </w:pPr>
            <w:r>
              <w:rPr>
                <w:b/>
                <w:bCs w:val="0"/>
              </w:rPr>
              <w:t>Evaluator:</w:t>
            </w:r>
          </w:p>
        </w:tc>
      </w:tr>
      <w:tr w:rsidR="008B4C8D" w:rsidTr="008B4C8D">
        <w:trPr>
          <w:trHeight w:val="330"/>
        </w:trPr>
        <w:tc>
          <w:tcPr>
            <w:tcW w:w="1098" w:type="dxa"/>
            <w:tcBorders>
              <w:top w:val="single" w:sz="4" w:space="0" w:color="auto"/>
              <w:left w:val="single" w:sz="4" w:space="0" w:color="auto"/>
              <w:bottom w:val="single" w:sz="4" w:space="0" w:color="auto"/>
              <w:right w:val="single" w:sz="4" w:space="0" w:color="auto"/>
            </w:tcBorders>
            <w:hideMark/>
          </w:tcPr>
          <w:p w:rsidR="008B4C8D" w:rsidRDefault="008B4C8D">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3780" w:type="dxa"/>
            <w:tcBorders>
              <w:top w:val="single" w:sz="4" w:space="0" w:color="auto"/>
              <w:left w:val="single" w:sz="4" w:space="0" w:color="auto"/>
              <w:bottom w:val="single" w:sz="4" w:space="0" w:color="auto"/>
              <w:right w:val="single" w:sz="4" w:space="0" w:color="auto"/>
            </w:tcBorders>
            <w:hideMark/>
          </w:tcPr>
          <w:p w:rsidR="008B4C8D" w:rsidRDefault="008B4C8D">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3961" w:type="dxa"/>
            <w:tcBorders>
              <w:top w:val="single" w:sz="4" w:space="0" w:color="auto"/>
              <w:left w:val="single" w:sz="4" w:space="0" w:color="auto"/>
              <w:bottom w:val="single" w:sz="4" w:space="0" w:color="auto"/>
              <w:right w:val="single" w:sz="4" w:space="0" w:color="auto"/>
            </w:tcBorders>
            <w:hideMark/>
          </w:tcPr>
          <w:p w:rsidR="008B4C8D" w:rsidRDefault="008B4C8D">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rsidR="008B4C8D" w:rsidRDefault="008B4C8D" w:rsidP="008B4C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742"/>
        <w:gridCol w:w="618"/>
        <w:gridCol w:w="732"/>
        <w:gridCol w:w="3478"/>
      </w:tblGrid>
      <w:tr w:rsidR="008B4C8D" w:rsidTr="008B4C8D">
        <w:tc>
          <w:tcPr>
            <w:tcW w:w="3060" w:type="dxa"/>
            <w:tcBorders>
              <w:top w:val="single" w:sz="4" w:space="0" w:color="auto"/>
              <w:left w:val="single" w:sz="4" w:space="0" w:color="auto"/>
              <w:bottom w:val="single" w:sz="4" w:space="0" w:color="auto"/>
              <w:right w:val="single" w:sz="4" w:space="0" w:color="auto"/>
            </w:tcBorders>
            <w:shd w:val="clear" w:color="auto" w:fill="E6E6E6"/>
            <w:hideMark/>
          </w:tcPr>
          <w:p w:rsidR="008B4C8D" w:rsidRDefault="008B4C8D">
            <w:pPr>
              <w:rPr>
                <w:b/>
                <w:bCs w:val="0"/>
              </w:rPr>
            </w:pPr>
            <w:r>
              <w:rPr>
                <w:b/>
                <w:bCs w:val="0"/>
              </w:rPr>
              <w:t>Exemption:</w:t>
            </w:r>
          </w:p>
        </w:tc>
        <w:tc>
          <w:tcPr>
            <w:tcW w:w="742" w:type="dxa"/>
            <w:tcBorders>
              <w:top w:val="single" w:sz="4" w:space="0" w:color="auto"/>
              <w:left w:val="single" w:sz="4" w:space="0" w:color="auto"/>
              <w:bottom w:val="single" w:sz="4" w:space="0" w:color="auto"/>
              <w:right w:val="single" w:sz="4" w:space="0" w:color="auto"/>
            </w:tcBorders>
            <w:shd w:val="clear" w:color="auto" w:fill="E6E6E6"/>
            <w:hideMark/>
          </w:tcPr>
          <w:p w:rsidR="008B4C8D" w:rsidRDefault="008B4C8D">
            <w:pPr>
              <w:rPr>
                <w:b/>
                <w:bCs w:val="0"/>
              </w:rPr>
            </w:pPr>
            <w:r>
              <w:rPr>
                <w:b/>
                <w:bCs w:val="0"/>
              </w:rPr>
              <w:t>Yes</w:t>
            </w:r>
          </w:p>
        </w:tc>
        <w:tc>
          <w:tcPr>
            <w:tcW w:w="618" w:type="dxa"/>
            <w:tcBorders>
              <w:top w:val="single" w:sz="4" w:space="0" w:color="auto"/>
              <w:left w:val="single" w:sz="4" w:space="0" w:color="auto"/>
              <w:bottom w:val="single" w:sz="4" w:space="0" w:color="auto"/>
              <w:right w:val="single" w:sz="4" w:space="0" w:color="auto"/>
            </w:tcBorders>
            <w:shd w:val="clear" w:color="auto" w:fill="E6E6E6"/>
            <w:hideMark/>
          </w:tcPr>
          <w:p w:rsidR="008B4C8D" w:rsidRDefault="008B4C8D">
            <w:pPr>
              <w:rPr>
                <w:b/>
                <w:bCs w:val="0"/>
              </w:rPr>
            </w:pPr>
            <w:r>
              <w:rPr>
                <w:b/>
                <w:bCs w:val="0"/>
              </w:rPr>
              <w:t>No</w:t>
            </w:r>
          </w:p>
        </w:tc>
        <w:tc>
          <w:tcPr>
            <w:tcW w:w="732" w:type="dxa"/>
            <w:tcBorders>
              <w:top w:val="single" w:sz="4" w:space="0" w:color="auto"/>
              <w:left w:val="single" w:sz="4" w:space="0" w:color="auto"/>
              <w:bottom w:val="single" w:sz="4" w:space="0" w:color="auto"/>
              <w:right w:val="single" w:sz="4" w:space="0" w:color="auto"/>
            </w:tcBorders>
            <w:shd w:val="clear" w:color="auto" w:fill="E6E6E6"/>
            <w:hideMark/>
          </w:tcPr>
          <w:p w:rsidR="008B4C8D" w:rsidRDefault="008B4C8D">
            <w:pPr>
              <w:rPr>
                <w:b/>
                <w:bCs w:val="0"/>
              </w:rPr>
            </w:pPr>
            <w:r>
              <w:rPr>
                <w:b/>
                <w:bCs w:val="0"/>
              </w:rPr>
              <w:t>N/A</w:t>
            </w:r>
          </w:p>
        </w:tc>
        <w:tc>
          <w:tcPr>
            <w:tcW w:w="3478" w:type="dxa"/>
            <w:tcBorders>
              <w:top w:val="single" w:sz="4" w:space="0" w:color="auto"/>
              <w:left w:val="single" w:sz="4" w:space="0" w:color="auto"/>
              <w:bottom w:val="single" w:sz="4" w:space="0" w:color="auto"/>
              <w:right w:val="single" w:sz="4" w:space="0" w:color="auto"/>
            </w:tcBorders>
            <w:shd w:val="clear" w:color="auto" w:fill="E6E6E6"/>
            <w:hideMark/>
          </w:tcPr>
          <w:p w:rsidR="008B4C8D" w:rsidRDefault="008B4C8D">
            <w:pPr>
              <w:rPr>
                <w:b/>
                <w:bCs w:val="0"/>
              </w:rPr>
            </w:pPr>
            <w:r>
              <w:rPr>
                <w:b/>
                <w:bCs w:val="0"/>
              </w:rPr>
              <w:t>Comments:</w:t>
            </w:r>
          </w:p>
        </w:tc>
      </w:tr>
      <w:tr w:rsidR="008B4C8D" w:rsidTr="000126D6">
        <w:trPr>
          <w:cantSplit/>
          <w:trHeight w:val="1286"/>
        </w:trPr>
        <w:tc>
          <w:tcPr>
            <w:tcW w:w="8630" w:type="dxa"/>
            <w:gridSpan w:val="5"/>
            <w:tcBorders>
              <w:top w:val="single" w:sz="4" w:space="0" w:color="auto"/>
              <w:left w:val="single" w:sz="4" w:space="0" w:color="auto"/>
              <w:bottom w:val="single" w:sz="4" w:space="0" w:color="auto"/>
              <w:right w:val="single" w:sz="4" w:space="0" w:color="auto"/>
            </w:tcBorders>
            <w:shd w:val="clear" w:color="auto" w:fill="CCFFCC"/>
            <w:hideMark/>
          </w:tcPr>
          <w:p w:rsidR="008B4C8D" w:rsidRDefault="008B4C8D" w:rsidP="008B4C8D">
            <w:r>
              <w:rPr>
                <w:b/>
                <w:bCs w:val="0"/>
              </w:rPr>
              <w:t>Outside Sales Exemption</w:t>
            </w:r>
            <w:r w:rsidR="00DA298E">
              <w:rPr>
                <w:b/>
                <w:bCs w:val="0"/>
              </w:rPr>
              <w:t>:</w:t>
            </w:r>
            <w:r>
              <w:t xml:space="preserve"> </w:t>
            </w:r>
            <w:r w:rsidR="00DA298E">
              <w:t>“Sales” includes any sale, exchange, contract to sell, consignment for sales, shipment for sale, or other disposition.  It includes the transfer of title to tangible property, and in certain cases, of tangible and valuable evidences of intangible property.</w:t>
            </w:r>
          </w:p>
        </w:tc>
      </w:tr>
      <w:tr w:rsidR="008B4C8D" w:rsidTr="000126D6">
        <w:trPr>
          <w:trHeight w:val="4670"/>
        </w:trPr>
        <w:tc>
          <w:tcPr>
            <w:tcW w:w="3060" w:type="dxa"/>
            <w:tcBorders>
              <w:top w:val="single" w:sz="4" w:space="0" w:color="auto"/>
              <w:left w:val="single" w:sz="4" w:space="0" w:color="auto"/>
              <w:bottom w:val="single" w:sz="4" w:space="0" w:color="auto"/>
              <w:right w:val="single" w:sz="4" w:space="0" w:color="auto"/>
            </w:tcBorders>
            <w:hideMark/>
          </w:tcPr>
          <w:p w:rsidR="008B4C8D" w:rsidRDefault="00DA298E">
            <w:r>
              <w:t xml:space="preserve">The Salary requirements of the regulation do not apply to the outside sales exemption.  An employee who does not satisfy the requirements of the outside sales exemption may still qualify as an exempt employee under one of the other exemptions allowed by Section 13(a)(1) of the FLSA and the Part 541 regulations if all the criteria for the exemption is met. </w:t>
            </w:r>
          </w:p>
        </w:tc>
        <w:tc>
          <w:tcPr>
            <w:tcW w:w="742" w:type="dxa"/>
            <w:tcBorders>
              <w:top w:val="single" w:sz="4" w:space="0" w:color="auto"/>
              <w:left w:val="single" w:sz="4" w:space="0" w:color="auto"/>
              <w:bottom w:val="single" w:sz="4" w:space="0" w:color="auto"/>
              <w:right w:val="single" w:sz="4" w:space="0" w:color="auto"/>
            </w:tcBorders>
            <w:hideMark/>
          </w:tcPr>
          <w:p w:rsidR="008B4C8D" w:rsidRDefault="008B4C8D">
            <w:r>
              <w:fldChar w:fldCharType="begin">
                <w:ffData>
                  <w:name w:val="Check1"/>
                  <w:enabled/>
                  <w:calcOnExit w:val="0"/>
                  <w:checkBox>
                    <w:sizeAuto/>
                    <w:default w:val="0"/>
                  </w:checkBox>
                </w:ffData>
              </w:fldChar>
            </w:r>
            <w:bookmarkStart w:id="4" w:name="Check1"/>
            <w:r>
              <w:instrText xml:space="preserve"> FORMCHECKBOX </w:instrText>
            </w:r>
            <w:r w:rsidR="002D11E7">
              <w:fldChar w:fldCharType="separate"/>
            </w:r>
            <w:r>
              <w:fldChar w:fldCharType="end"/>
            </w:r>
            <w:bookmarkEnd w:id="4"/>
          </w:p>
        </w:tc>
        <w:tc>
          <w:tcPr>
            <w:tcW w:w="618" w:type="dxa"/>
            <w:tcBorders>
              <w:top w:val="single" w:sz="4" w:space="0" w:color="auto"/>
              <w:left w:val="single" w:sz="4" w:space="0" w:color="auto"/>
              <w:bottom w:val="single" w:sz="4" w:space="0" w:color="auto"/>
              <w:right w:val="single" w:sz="4" w:space="0" w:color="auto"/>
            </w:tcBorders>
            <w:hideMark/>
          </w:tcPr>
          <w:p w:rsidR="008B4C8D" w:rsidRDefault="008B4C8D">
            <w:r>
              <w:fldChar w:fldCharType="begin">
                <w:ffData>
                  <w:name w:val="Check2"/>
                  <w:enabled/>
                  <w:calcOnExit w:val="0"/>
                  <w:checkBox>
                    <w:sizeAuto/>
                    <w:default w:val="0"/>
                  </w:checkBox>
                </w:ffData>
              </w:fldChar>
            </w:r>
            <w:bookmarkStart w:id="5" w:name="Check2"/>
            <w:r>
              <w:instrText xml:space="preserve"> FORMCHECKBOX </w:instrText>
            </w:r>
            <w:r w:rsidR="002D11E7">
              <w:fldChar w:fldCharType="separate"/>
            </w:r>
            <w:r>
              <w:fldChar w:fldCharType="end"/>
            </w:r>
            <w:bookmarkEnd w:id="5"/>
          </w:p>
        </w:tc>
        <w:tc>
          <w:tcPr>
            <w:tcW w:w="732" w:type="dxa"/>
            <w:tcBorders>
              <w:top w:val="single" w:sz="4" w:space="0" w:color="auto"/>
              <w:left w:val="single" w:sz="4" w:space="0" w:color="auto"/>
              <w:bottom w:val="single" w:sz="4" w:space="0" w:color="auto"/>
              <w:right w:val="single" w:sz="4" w:space="0" w:color="auto"/>
            </w:tcBorders>
            <w:hideMark/>
          </w:tcPr>
          <w:p w:rsidR="008B4C8D" w:rsidRDefault="008B4C8D">
            <w:r>
              <w:fldChar w:fldCharType="begin">
                <w:ffData>
                  <w:name w:val="Check3"/>
                  <w:enabled/>
                  <w:calcOnExit w:val="0"/>
                  <w:checkBox>
                    <w:sizeAuto/>
                    <w:default w:val="0"/>
                  </w:checkBox>
                </w:ffData>
              </w:fldChar>
            </w:r>
            <w:bookmarkStart w:id="6" w:name="Check3"/>
            <w:r>
              <w:instrText xml:space="preserve"> FORMCHECKBOX </w:instrText>
            </w:r>
            <w:r w:rsidR="002D11E7">
              <w:fldChar w:fldCharType="separate"/>
            </w:r>
            <w:r>
              <w:fldChar w:fldCharType="end"/>
            </w:r>
            <w:bookmarkEnd w:id="6"/>
          </w:p>
        </w:tc>
        <w:tc>
          <w:tcPr>
            <w:tcW w:w="3478" w:type="dxa"/>
            <w:tcBorders>
              <w:top w:val="single" w:sz="4" w:space="0" w:color="auto"/>
              <w:left w:val="single" w:sz="4" w:space="0" w:color="auto"/>
              <w:bottom w:val="single" w:sz="4" w:space="0" w:color="auto"/>
              <w:right w:val="single" w:sz="4" w:space="0" w:color="auto"/>
            </w:tcBorders>
            <w:hideMark/>
          </w:tcPr>
          <w:p w:rsidR="008B4C8D" w:rsidRDefault="008B4C8D">
            <w:r>
              <w:fldChar w:fldCharType="begin">
                <w:ffData>
                  <w:name w:val="Text4"/>
                  <w:enabled/>
                  <w:calcOnExit w:val="0"/>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8B4C8D" w:rsidTr="008B4C8D">
        <w:tc>
          <w:tcPr>
            <w:tcW w:w="8630" w:type="dxa"/>
            <w:gridSpan w:val="5"/>
            <w:tcBorders>
              <w:top w:val="single" w:sz="4" w:space="0" w:color="auto"/>
              <w:left w:val="single" w:sz="4" w:space="0" w:color="auto"/>
              <w:bottom w:val="single" w:sz="4" w:space="0" w:color="auto"/>
              <w:right w:val="single" w:sz="4" w:space="0" w:color="auto"/>
            </w:tcBorders>
          </w:tcPr>
          <w:p w:rsidR="008B4C8D" w:rsidRDefault="008B4C8D">
            <w:r>
              <w:t xml:space="preserve">Roll: </w:t>
            </w:r>
            <w:r>
              <w:fldChar w:fldCharType="begin">
                <w:ffData>
                  <w:name w:val="Text21"/>
                  <w:enabled/>
                  <w:calcOnExit w:val="0"/>
                  <w:textInput/>
                </w:ffData>
              </w:fldChar>
            </w:r>
            <w:bookmarkStart w:id="8"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8B4C8D" w:rsidRDefault="008B4C8D"/>
          <w:p w:rsidR="008B4C8D" w:rsidRDefault="008B4C8D"/>
          <w:p w:rsidR="008B4C8D" w:rsidRDefault="008B4C8D"/>
        </w:tc>
      </w:tr>
      <w:tr w:rsidR="008B4C8D" w:rsidTr="008B4C8D">
        <w:trPr>
          <w:cantSplit/>
          <w:trHeight w:val="1268"/>
        </w:trPr>
        <w:tc>
          <w:tcPr>
            <w:tcW w:w="8630" w:type="dxa"/>
            <w:gridSpan w:val="5"/>
            <w:tcBorders>
              <w:top w:val="single" w:sz="4" w:space="0" w:color="auto"/>
              <w:left w:val="single" w:sz="4" w:space="0" w:color="auto"/>
              <w:bottom w:val="single" w:sz="4" w:space="0" w:color="auto"/>
              <w:right w:val="single" w:sz="4" w:space="0" w:color="auto"/>
            </w:tcBorders>
            <w:hideMark/>
          </w:tcPr>
          <w:p w:rsidR="008B4C8D" w:rsidRDefault="008B4C8D">
            <w:r>
              <w:t xml:space="preserve">Elaborate on worker’s primary job duty (the principal, main, major or most important duty the employee performs)  </w:t>
            </w:r>
            <w:r>
              <w:fldChar w:fldCharType="begin">
                <w:ffData>
                  <w:name w:val="Text7"/>
                  <w:enabled/>
                  <w:calcOnExit w:val="0"/>
                  <w:textInput/>
                </w:ffData>
              </w:fldChar>
            </w:r>
            <w:bookmarkStart w:id="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8B4C8D" w:rsidTr="008B4C8D">
        <w:trPr>
          <w:cantSplit/>
          <w:trHeight w:val="251"/>
        </w:trPr>
        <w:tc>
          <w:tcPr>
            <w:tcW w:w="8630"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8B4C8D" w:rsidRDefault="008B4C8D">
            <w:pPr>
              <w:rPr>
                <w:b/>
              </w:rPr>
            </w:pPr>
            <w:r>
              <w:rPr>
                <w:b/>
              </w:rPr>
              <w:t>To</w:t>
            </w:r>
            <w:r w:rsidR="005B7BA8">
              <w:rPr>
                <w:b/>
              </w:rPr>
              <w:t xml:space="preserve"> qualify for the outside sales exemption, all of the following tests must be met:</w:t>
            </w:r>
          </w:p>
        </w:tc>
      </w:tr>
      <w:tr w:rsidR="008B4C8D" w:rsidTr="005B7BA8">
        <w:trPr>
          <w:trHeight w:val="2591"/>
        </w:trPr>
        <w:tc>
          <w:tcPr>
            <w:tcW w:w="3060" w:type="dxa"/>
            <w:tcBorders>
              <w:top w:val="single" w:sz="4" w:space="0" w:color="auto"/>
              <w:left w:val="single" w:sz="4" w:space="0" w:color="auto"/>
              <w:bottom w:val="single" w:sz="4" w:space="0" w:color="auto"/>
              <w:right w:val="single" w:sz="4" w:space="0" w:color="auto"/>
            </w:tcBorders>
            <w:hideMark/>
          </w:tcPr>
          <w:p w:rsidR="008B4C8D" w:rsidRDefault="005B7BA8">
            <w:r>
              <w:lastRenderedPageBreak/>
              <w:t>The employee’s primary duty must be making sales (as defined in the FLSA), or obtaining orders or contracts for services or for the use of facilities for which a consideration will be paid by the client or customer; and</w:t>
            </w:r>
          </w:p>
        </w:tc>
        <w:tc>
          <w:tcPr>
            <w:tcW w:w="742" w:type="dxa"/>
            <w:tcBorders>
              <w:top w:val="single" w:sz="4" w:space="0" w:color="auto"/>
              <w:left w:val="single" w:sz="4" w:space="0" w:color="auto"/>
              <w:bottom w:val="single" w:sz="4" w:space="0" w:color="auto"/>
              <w:right w:val="single" w:sz="4" w:space="0" w:color="auto"/>
            </w:tcBorders>
            <w:hideMark/>
          </w:tcPr>
          <w:p w:rsidR="008B4C8D" w:rsidRDefault="008B4C8D">
            <w:r>
              <w:fldChar w:fldCharType="begin">
                <w:ffData>
                  <w:name w:val="Check4"/>
                  <w:enabled/>
                  <w:calcOnExit w:val="0"/>
                  <w:checkBox>
                    <w:sizeAuto/>
                    <w:default w:val="0"/>
                  </w:checkBox>
                </w:ffData>
              </w:fldChar>
            </w:r>
            <w:bookmarkStart w:id="10" w:name="Check4"/>
            <w:r>
              <w:instrText xml:space="preserve"> FORMCHECKBOX </w:instrText>
            </w:r>
            <w:r w:rsidR="002D11E7">
              <w:fldChar w:fldCharType="separate"/>
            </w:r>
            <w:r>
              <w:fldChar w:fldCharType="end"/>
            </w:r>
            <w:bookmarkEnd w:id="10"/>
          </w:p>
        </w:tc>
        <w:tc>
          <w:tcPr>
            <w:tcW w:w="618" w:type="dxa"/>
            <w:tcBorders>
              <w:top w:val="single" w:sz="4" w:space="0" w:color="auto"/>
              <w:left w:val="single" w:sz="4" w:space="0" w:color="auto"/>
              <w:bottom w:val="single" w:sz="4" w:space="0" w:color="auto"/>
              <w:right w:val="single" w:sz="4" w:space="0" w:color="auto"/>
            </w:tcBorders>
            <w:hideMark/>
          </w:tcPr>
          <w:p w:rsidR="008B4C8D" w:rsidRDefault="008B4C8D">
            <w:r>
              <w:fldChar w:fldCharType="begin">
                <w:ffData>
                  <w:name w:val="Check5"/>
                  <w:enabled/>
                  <w:calcOnExit w:val="0"/>
                  <w:checkBox>
                    <w:sizeAuto/>
                    <w:default w:val="0"/>
                  </w:checkBox>
                </w:ffData>
              </w:fldChar>
            </w:r>
            <w:bookmarkStart w:id="11" w:name="Check5"/>
            <w:r>
              <w:instrText xml:space="preserve"> FORMCHECKBOX </w:instrText>
            </w:r>
            <w:r w:rsidR="002D11E7">
              <w:fldChar w:fldCharType="separate"/>
            </w:r>
            <w:r>
              <w:fldChar w:fldCharType="end"/>
            </w:r>
            <w:bookmarkEnd w:id="11"/>
          </w:p>
        </w:tc>
        <w:tc>
          <w:tcPr>
            <w:tcW w:w="732" w:type="dxa"/>
            <w:tcBorders>
              <w:top w:val="single" w:sz="4" w:space="0" w:color="auto"/>
              <w:left w:val="single" w:sz="4" w:space="0" w:color="auto"/>
              <w:bottom w:val="single" w:sz="4" w:space="0" w:color="auto"/>
              <w:right w:val="single" w:sz="4" w:space="0" w:color="auto"/>
            </w:tcBorders>
            <w:hideMark/>
          </w:tcPr>
          <w:p w:rsidR="008B4C8D" w:rsidRDefault="008B4C8D">
            <w:r>
              <w:fldChar w:fldCharType="begin">
                <w:ffData>
                  <w:name w:val="Check6"/>
                  <w:enabled/>
                  <w:calcOnExit w:val="0"/>
                  <w:checkBox>
                    <w:sizeAuto/>
                    <w:default w:val="0"/>
                  </w:checkBox>
                </w:ffData>
              </w:fldChar>
            </w:r>
            <w:bookmarkStart w:id="12" w:name="Check6"/>
            <w:r>
              <w:instrText xml:space="preserve"> FORMCHECKBOX </w:instrText>
            </w:r>
            <w:r w:rsidR="002D11E7">
              <w:fldChar w:fldCharType="separate"/>
            </w:r>
            <w:r>
              <w:fldChar w:fldCharType="end"/>
            </w:r>
            <w:bookmarkEnd w:id="12"/>
          </w:p>
        </w:tc>
        <w:tc>
          <w:tcPr>
            <w:tcW w:w="3478" w:type="dxa"/>
            <w:tcBorders>
              <w:top w:val="single" w:sz="4" w:space="0" w:color="auto"/>
              <w:left w:val="single" w:sz="4" w:space="0" w:color="auto"/>
              <w:bottom w:val="single" w:sz="4" w:space="0" w:color="auto"/>
              <w:right w:val="single" w:sz="4" w:space="0" w:color="auto"/>
            </w:tcBorders>
            <w:hideMark/>
          </w:tcPr>
          <w:p w:rsidR="008B4C8D" w:rsidRDefault="008B4C8D">
            <w:r>
              <w:fldChar w:fldCharType="begin">
                <w:ffData>
                  <w:name w:val="Text5"/>
                  <w:enabled/>
                  <w:calcOnExit w:val="0"/>
                  <w:textInput/>
                </w:ffData>
              </w:fldChar>
            </w:r>
            <w:bookmarkStart w:id="1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8B4C8D" w:rsidTr="005B7BA8">
        <w:trPr>
          <w:trHeight w:val="1709"/>
        </w:trPr>
        <w:tc>
          <w:tcPr>
            <w:tcW w:w="3060" w:type="dxa"/>
            <w:tcBorders>
              <w:top w:val="single" w:sz="4" w:space="0" w:color="auto"/>
              <w:left w:val="single" w:sz="4" w:space="0" w:color="auto"/>
              <w:bottom w:val="single" w:sz="4" w:space="0" w:color="auto"/>
              <w:right w:val="single" w:sz="4" w:space="0" w:color="auto"/>
            </w:tcBorders>
            <w:hideMark/>
          </w:tcPr>
          <w:p w:rsidR="008B4C8D" w:rsidRDefault="005B7BA8">
            <w:r>
              <w:t>The employee must be customarily and regularly engaged away from the employer’s place or places of business.</w:t>
            </w:r>
          </w:p>
        </w:tc>
        <w:tc>
          <w:tcPr>
            <w:tcW w:w="742" w:type="dxa"/>
            <w:tcBorders>
              <w:top w:val="single" w:sz="4" w:space="0" w:color="auto"/>
              <w:left w:val="single" w:sz="4" w:space="0" w:color="auto"/>
              <w:bottom w:val="single" w:sz="4" w:space="0" w:color="auto"/>
              <w:right w:val="single" w:sz="4" w:space="0" w:color="auto"/>
            </w:tcBorders>
            <w:hideMark/>
          </w:tcPr>
          <w:p w:rsidR="008B4C8D" w:rsidRDefault="008B4C8D">
            <w:r>
              <w:fldChar w:fldCharType="begin">
                <w:ffData>
                  <w:name w:val="Check7"/>
                  <w:enabled/>
                  <w:calcOnExit w:val="0"/>
                  <w:checkBox>
                    <w:sizeAuto/>
                    <w:default w:val="0"/>
                  </w:checkBox>
                </w:ffData>
              </w:fldChar>
            </w:r>
            <w:bookmarkStart w:id="14" w:name="Check7"/>
            <w:r>
              <w:instrText xml:space="preserve"> FORMCHECKBOX </w:instrText>
            </w:r>
            <w:r w:rsidR="002D11E7">
              <w:fldChar w:fldCharType="separate"/>
            </w:r>
            <w:r>
              <w:fldChar w:fldCharType="end"/>
            </w:r>
            <w:bookmarkEnd w:id="14"/>
          </w:p>
        </w:tc>
        <w:tc>
          <w:tcPr>
            <w:tcW w:w="618" w:type="dxa"/>
            <w:tcBorders>
              <w:top w:val="single" w:sz="4" w:space="0" w:color="auto"/>
              <w:left w:val="single" w:sz="4" w:space="0" w:color="auto"/>
              <w:bottom w:val="single" w:sz="4" w:space="0" w:color="auto"/>
              <w:right w:val="single" w:sz="4" w:space="0" w:color="auto"/>
            </w:tcBorders>
            <w:hideMark/>
          </w:tcPr>
          <w:p w:rsidR="008B4C8D" w:rsidRDefault="008B4C8D">
            <w:r>
              <w:fldChar w:fldCharType="begin">
                <w:ffData>
                  <w:name w:val="Check8"/>
                  <w:enabled/>
                  <w:calcOnExit w:val="0"/>
                  <w:checkBox>
                    <w:sizeAuto/>
                    <w:default w:val="0"/>
                  </w:checkBox>
                </w:ffData>
              </w:fldChar>
            </w:r>
            <w:bookmarkStart w:id="15" w:name="Check8"/>
            <w:r>
              <w:instrText xml:space="preserve"> FORMCHECKBOX </w:instrText>
            </w:r>
            <w:r w:rsidR="002D11E7">
              <w:fldChar w:fldCharType="separate"/>
            </w:r>
            <w:r>
              <w:fldChar w:fldCharType="end"/>
            </w:r>
            <w:bookmarkEnd w:id="15"/>
          </w:p>
        </w:tc>
        <w:tc>
          <w:tcPr>
            <w:tcW w:w="732" w:type="dxa"/>
            <w:tcBorders>
              <w:top w:val="single" w:sz="4" w:space="0" w:color="auto"/>
              <w:left w:val="single" w:sz="4" w:space="0" w:color="auto"/>
              <w:bottom w:val="single" w:sz="4" w:space="0" w:color="auto"/>
              <w:right w:val="single" w:sz="4" w:space="0" w:color="auto"/>
            </w:tcBorders>
            <w:hideMark/>
          </w:tcPr>
          <w:p w:rsidR="008B4C8D" w:rsidRDefault="008B4C8D">
            <w:r>
              <w:fldChar w:fldCharType="begin">
                <w:ffData>
                  <w:name w:val="Check9"/>
                  <w:enabled/>
                  <w:calcOnExit w:val="0"/>
                  <w:checkBox>
                    <w:sizeAuto/>
                    <w:default w:val="0"/>
                  </w:checkBox>
                </w:ffData>
              </w:fldChar>
            </w:r>
            <w:bookmarkStart w:id="16" w:name="Check9"/>
            <w:r>
              <w:instrText xml:space="preserve"> FORMCHECKBOX </w:instrText>
            </w:r>
            <w:r w:rsidR="002D11E7">
              <w:fldChar w:fldCharType="separate"/>
            </w:r>
            <w:r>
              <w:fldChar w:fldCharType="end"/>
            </w:r>
            <w:bookmarkEnd w:id="16"/>
          </w:p>
        </w:tc>
        <w:tc>
          <w:tcPr>
            <w:tcW w:w="3478" w:type="dxa"/>
            <w:tcBorders>
              <w:top w:val="single" w:sz="4" w:space="0" w:color="auto"/>
              <w:left w:val="single" w:sz="4" w:space="0" w:color="auto"/>
              <w:bottom w:val="single" w:sz="4" w:space="0" w:color="auto"/>
              <w:right w:val="single" w:sz="4" w:space="0" w:color="auto"/>
            </w:tcBorders>
            <w:hideMark/>
          </w:tcPr>
          <w:p w:rsidR="008B4C8D" w:rsidRDefault="008B4C8D">
            <w:r>
              <w:fldChar w:fldCharType="begin">
                <w:ffData>
                  <w:name w:val="Text6"/>
                  <w:enabled/>
                  <w:calcOnExit w:val="0"/>
                  <w:textInput/>
                </w:ffData>
              </w:fldChar>
            </w:r>
            <w:bookmarkStart w:id="1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rsidR="00B349DB" w:rsidRDefault="00B349DB"/>
    <w:p w:rsidR="005B7BA8" w:rsidRDefault="005B7BA8"/>
    <w:p w:rsidR="005B7BA8" w:rsidRDefault="005B7BA8">
      <w:r>
        <w:t xml:space="preserve">Criteria met for exempt status:  </w:t>
      </w:r>
      <w:r>
        <w:fldChar w:fldCharType="begin">
          <w:ffData>
            <w:name w:val="Check10"/>
            <w:enabled/>
            <w:calcOnExit w:val="0"/>
            <w:checkBox>
              <w:sizeAuto/>
              <w:default w:val="0"/>
            </w:checkBox>
          </w:ffData>
        </w:fldChar>
      </w:r>
      <w:bookmarkStart w:id="18" w:name="Check10"/>
      <w:r>
        <w:instrText xml:space="preserve"> FORMCHECKBOX </w:instrText>
      </w:r>
      <w:r w:rsidR="002D11E7">
        <w:fldChar w:fldCharType="separate"/>
      </w:r>
      <w:r>
        <w:fldChar w:fldCharType="end"/>
      </w:r>
      <w:bookmarkEnd w:id="18"/>
      <w:r>
        <w:t xml:space="preserve"> Yes   </w:t>
      </w:r>
      <w:r>
        <w:fldChar w:fldCharType="begin">
          <w:ffData>
            <w:name w:val="Check11"/>
            <w:enabled/>
            <w:calcOnExit w:val="0"/>
            <w:checkBox>
              <w:sizeAuto/>
              <w:default w:val="0"/>
            </w:checkBox>
          </w:ffData>
        </w:fldChar>
      </w:r>
      <w:bookmarkStart w:id="19" w:name="Check11"/>
      <w:r>
        <w:instrText xml:space="preserve"> FORMCHECKBOX </w:instrText>
      </w:r>
      <w:r w:rsidR="002D11E7">
        <w:fldChar w:fldCharType="separate"/>
      </w:r>
      <w:r>
        <w:fldChar w:fldCharType="end"/>
      </w:r>
      <w:bookmarkEnd w:id="19"/>
      <w:r>
        <w:t xml:space="preserve">  No</w:t>
      </w:r>
    </w:p>
    <w:p w:rsidR="005B7BA8" w:rsidRDefault="005B7BA8"/>
    <w:p w:rsidR="005B7BA8" w:rsidRPr="00841F98" w:rsidRDefault="005B7BA8">
      <w:pPr>
        <w:rPr>
          <w:sz w:val="20"/>
          <w:szCs w:val="20"/>
        </w:rPr>
      </w:pPr>
      <w:r w:rsidRPr="00841F98">
        <w:rPr>
          <w:sz w:val="20"/>
          <w:szCs w:val="20"/>
        </w:rPr>
        <w:t xml:space="preserve">Rev. </w:t>
      </w:r>
      <w:r w:rsidR="00841F98" w:rsidRPr="00841F98">
        <w:rPr>
          <w:sz w:val="20"/>
          <w:szCs w:val="20"/>
        </w:rPr>
        <w:t>4/26/18</w:t>
      </w:r>
    </w:p>
    <w:sectPr w:rsidR="005B7BA8" w:rsidRPr="00841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8gjf8NMSFqszHcWx9bgSPYsEH7/sOzr9hwgi6uC+BbBFBo+MEXjBHLrPNstCbLs2EPJbii8SUsUO/Nt+AIwk7w==" w:salt="erTF3N3J6sITVTeY83TG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8D"/>
    <w:rsid w:val="000126D6"/>
    <w:rsid w:val="002D11E7"/>
    <w:rsid w:val="005B7BA8"/>
    <w:rsid w:val="00841F98"/>
    <w:rsid w:val="008B4C8D"/>
    <w:rsid w:val="00B313CA"/>
    <w:rsid w:val="00B349DB"/>
    <w:rsid w:val="00DA298E"/>
    <w:rsid w:val="00E42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0D95E"/>
  <w15:chartTrackingRefBased/>
  <w15:docId w15:val="{2204D486-E32C-48B5-A4EF-BECF5134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C8D"/>
    <w:pPr>
      <w:spacing w:after="0" w:line="240" w:lineRule="auto"/>
    </w:pPr>
    <w:rPr>
      <w:rFonts w:ascii="Arial" w:eastAsia="Times New Roman" w:hAnsi="Arial"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B4C8D"/>
    <w:pPr>
      <w:jc w:val="center"/>
    </w:pPr>
    <w:rPr>
      <w:sz w:val="28"/>
    </w:rPr>
  </w:style>
  <w:style w:type="character" w:customStyle="1" w:styleId="TitleChar">
    <w:name w:val="Title Char"/>
    <w:basedOn w:val="DefaultParagraphFont"/>
    <w:link w:val="Title"/>
    <w:rsid w:val="008B4C8D"/>
    <w:rPr>
      <w:rFonts w:ascii="Arial" w:eastAsia="Times New Roman" w:hAnsi="Arial" w:cs="Arial"/>
      <w:bCs/>
      <w:sz w:val="28"/>
      <w:szCs w:val="24"/>
    </w:rPr>
  </w:style>
  <w:style w:type="paragraph" w:styleId="BalloonText">
    <w:name w:val="Balloon Text"/>
    <w:basedOn w:val="Normal"/>
    <w:link w:val="BalloonTextChar"/>
    <w:uiPriority w:val="99"/>
    <w:semiHidden/>
    <w:unhideWhenUsed/>
    <w:rsid w:val="00B313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3CA"/>
    <w:rPr>
      <w:rFonts w:ascii="Segoe UI" w:eastAsia="Times New Roman"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92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Sheryl</dc:creator>
  <cp:keywords/>
  <dc:description/>
  <cp:lastModifiedBy>Elliott, Sheryl</cp:lastModifiedBy>
  <cp:revision>7</cp:revision>
  <cp:lastPrinted>2016-08-18T18:46:00Z</cp:lastPrinted>
  <dcterms:created xsi:type="dcterms:W3CDTF">2016-08-17T13:54:00Z</dcterms:created>
  <dcterms:modified xsi:type="dcterms:W3CDTF">2018-04-26T16:21:00Z</dcterms:modified>
</cp:coreProperties>
</file>