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C1554" w14:textId="77777777" w:rsidR="00ED7CCD" w:rsidRPr="00A7695C" w:rsidRDefault="00ED7CCD">
      <w:pPr>
        <w:jc w:val="center"/>
        <w:rPr>
          <w:b/>
          <w:snapToGrid w:val="0"/>
          <w:szCs w:val="24"/>
        </w:rPr>
      </w:pPr>
      <w:bookmarkStart w:id="0" w:name="_GoBack"/>
      <w:bookmarkEnd w:id="0"/>
      <w:r w:rsidRPr="00A7695C">
        <w:rPr>
          <w:b/>
          <w:snapToGrid w:val="0"/>
          <w:szCs w:val="24"/>
        </w:rPr>
        <w:t>BARTON COMMUNITY COLLEGE</w:t>
      </w:r>
    </w:p>
    <w:p w14:paraId="5AFB225D" w14:textId="77777777" w:rsidR="00615192" w:rsidRPr="00A7695C" w:rsidRDefault="00615192">
      <w:pPr>
        <w:jc w:val="center"/>
        <w:rPr>
          <w:b/>
          <w:snapToGrid w:val="0"/>
          <w:szCs w:val="24"/>
        </w:rPr>
      </w:pPr>
      <w:r w:rsidRPr="00A7695C">
        <w:rPr>
          <w:b/>
          <w:snapToGrid w:val="0"/>
          <w:szCs w:val="24"/>
        </w:rPr>
        <w:t>COURSE SYLLABUS</w:t>
      </w:r>
    </w:p>
    <w:p w14:paraId="6F622485" w14:textId="77777777" w:rsidR="00615192" w:rsidRPr="00A7695C" w:rsidRDefault="00615192" w:rsidP="00F32344">
      <w:pPr>
        <w:pStyle w:val="ListParagraph"/>
        <w:numPr>
          <w:ilvl w:val="0"/>
          <w:numId w:val="28"/>
        </w:numPr>
        <w:spacing w:before="480" w:after="200"/>
        <w:ind w:hanging="720"/>
        <w:rPr>
          <w:rFonts w:eastAsiaTheme="minorHAnsi"/>
          <w:b/>
          <w:szCs w:val="24"/>
        </w:rPr>
      </w:pPr>
      <w:r w:rsidRPr="00A7695C">
        <w:rPr>
          <w:rFonts w:eastAsiaTheme="minorHAnsi"/>
          <w:b/>
          <w:szCs w:val="24"/>
        </w:rPr>
        <w:t>GENERAL COURSE INFORMATION</w:t>
      </w:r>
    </w:p>
    <w:p w14:paraId="2320013F" w14:textId="3EBDC1F6" w:rsidR="00615192" w:rsidRPr="00A7695C" w:rsidRDefault="00615192" w:rsidP="002D4CB8">
      <w:pPr>
        <w:ind w:left="2790" w:hanging="2070"/>
        <w:rPr>
          <w:snapToGrid w:val="0"/>
          <w:szCs w:val="24"/>
        </w:rPr>
      </w:pPr>
      <w:r w:rsidRPr="00A7695C">
        <w:rPr>
          <w:snapToGrid w:val="0"/>
          <w:szCs w:val="24"/>
          <w:u w:val="single"/>
        </w:rPr>
        <w:t>Course Number</w:t>
      </w:r>
      <w:r w:rsidR="004F1EED" w:rsidRPr="00A7695C">
        <w:rPr>
          <w:snapToGrid w:val="0"/>
          <w:szCs w:val="24"/>
        </w:rPr>
        <w:t>:</w:t>
      </w:r>
      <w:r w:rsidR="004F1EED" w:rsidRPr="00A7695C">
        <w:rPr>
          <w:snapToGrid w:val="0"/>
          <w:szCs w:val="24"/>
        </w:rPr>
        <w:tab/>
      </w:r>
      <w:r w:rsidR="00521333">
        <w:rPr>
          <w:snapToGrid w:val="0"/>
          <w:szCs w:val="24"/>
        </w:rPr>
        <w:tab/>
      </w:r>
      <w:r w:rsidR="001F0AB7" w:rsidRPr="00A7695C">
        <w:rPr>
          <w:snapToGrid w:val="0"/>
          <w:szCs w:val="24"/>
        </w:rPr>
        <w:t>HZMT</w:t>
      </w:r>
      <w:r w:rsidR="008C4968" w:rsidRPr="00A7695C">
        <w:rPr>
          <w:snapToGrid w:val="0"/>
          <w:szCs w:val="24"/>
        </w:rPr>
        <w:t xml:space="preserve"> </w:t>
      </w:r>
      <w:r w:rsidR="006273C2" w:rsidRPr="00A7695C">
        <w:rPr>
          <w:snapToGrid w:val="0"/>
          <w:szCs w:val="24"/>
        </w:rPr>
        <w:t>6036</w:t>
      </w:r>
    </w:p>
    <w:p w14:paraId="1DDC9C57" w14:textId="10C6BD35" w:rsidR="00615192" w:rsidRPr="00A7695C" w:rsidRDefault="00615192" w:rsidP="00070B27">
      <w:pPr>
        <w:ind w:left="2790" w:hanging="2070"/>
        <w:rPr>
          <w:snapToGrid w:val="0"/>
          <w:szCs w:val="24"/>
        </w:rPr>
      </w:pPr>
      <w:r w:rsidRPr="00A7695C">
        <w:rPr>
          <w:snapToGrid w:val="0"/>
          <w:szCs w:val="24"/>
          <w:u w:val="single"/>
        </w:rPr>
        <w:t>Course Title</w:t>
      </w:r>
      <w:r w:rsidR="008543F9" w:rsidRPr="00A7695C">
        <w:rPr>
          <w:snapToGrid w:val="0"/>
          <w:szCs w:val="24"/>
        </w:rPr>
        <w:t>:</w:t>
      </w:r>
      <w:r w:rsidR="004F1EED" w:rsidRPr="00A7695C">
        <w:rPr>
          <w:snapToGrid w:val="0"/>
          <w:szCs w:val="24"/>
        </w:rPr>
        <w:tab/>
      </w:r>
      <w:r w:rsidR="00521333">
        <w:rPr>
          <w:snapToGrid w:val="0"/>
          <w:szCs w:val="24"/>
        </w:rPr>
        <w:tab/>
      </w:r>
      <w:r w:rsidR="00CB6FE7" w:rsidRPr="00A7695C">
        <w:rPr>
          <w:snapToGrid w:val="0"/>
          <w:szCs w:val="24"/>
        </w:rPr>
        <w:t>Introduction to Environmental Compliance and Management</w:t>
      </w:r>
    </w:p>
    <w:p w14:paraId="33666FE7" w14:textId="33554EA1" w:rsidR="00615192" w:rsidRPr="00A7695C" w:rsidRDefault="00615192" w:rsidP="00070B27">
      <w:pPr>
        <w:tabs>
          <w:tab w:val="left" w:pos="2790"/>
        </w:tabs>
        <w:ind w:left="720"/>
        <w:rPr>
          <w:snapToGrid w:val="0"/>
          <w:szCs w:val="24"/>
        </w:rPr>
      </w:pPr>
      <w:r w:rsidRPr="00A7695C">
        <w:rPr>
          <w:snapToGrid w:val="0"/>
          <w:szCs w:val="24"/>
          <w:u w:val="single"/>
        </w:rPr>
        <w:t>Credit Hours</w:t>
      </w:r>
      <w:r w:rsidR="008543F9" w:rsidRPr="00A7695C">
        <w:rPr>
          <w:snapToGrid w:val="0"/>
          <w:szCs w:val="24"/>
        </w:rPr>
        <w:t>:</w:t>
      </w:r>
      <w:r w:rsidR="004224B1" w:rsidRPr="00A7695C">
        <w:rPr>
          <w:snapToGrid w:val="0"/>
          <w:szCs w:val="24"/>
        </w:rPr>
        <w:tab/>
      </w:r>
      <w:r w:rsidR="00521333">
        <w:rPr>
          <w:snapToGrid w:val="0"/>
          <w:szCs w:val="24"/>
        </w:rPr>
        <w:tab/>
      </w:r>
      <w:r w:rsidR="001F0AB7" w:rsidRPr="00A7695C">
        <w:rPr>
          <w:snapToGrid w:val="0"/>
          <w:szCs w:val="24"/>
        </w:rPr>
        <w:t>1.5 credit hours</w:t>
      </w:r>
    </w:p>
    <w:p w14:paraId="7BDFB087" w14:textId="6AB64F0D" w:rsidR="00615192" w:rsidRPr="00A7695C" w:rsidRDefault="00615192" w:rsidP="00070B27">
      <w:pPr>
        <w:tabs>
          <w:tab w:val="left" w:pos="2790"/>
        </w:tabs>
        <w:ind w:firstLine="720"/>
        <w:rPr>
          <w:snapToGrid w:val="0"/>
          <w:szCs w:val="24"/>
        </w:rPr>
      </w:pPr>
      <w:r w:rsidRPr="00A7695C">
        <w:rPr>
          <w:snapToGrid w:val="0"/>
          <w:szCs w:val="24"/>
          <w:u w:val="single"/>
        </w:rPr>
        <w:t>Prerequisites</w:t>
      </w:r>
      <w:r w:rsidR="00070B27" w:rsidRPr="00A7695C">
        <w:rPr>
          <w:snapToGrid w:val="0"/>
          <w:szCs w:val="24"/>
        </w:rPr>
        <w:t>:</w:t>
      </w:r>
      <w:r w:rsidR="004224B1" w:rsidRPr="00A7695C">
        <w:rPr>
          <w:snapToGrid w:val="0"/>
          <w:szCs w:val="24"/>
        </w:rPr>
        <w:tab/>
      </w:r>
      <w:r w:rsidR="00521333">
        <w:rPr>
          <w:snapToGrid w:val="0"/>
          <w:szCs w:val="24"/>
        </w:rPr>
        <w:tab/>
      </w:r>
      <w:r w:rsidRPr="00A7695C">
        <w:rPr>
          <w:snapToGrid w:val="0"/>
          <w:szCs w:val="24"/>
        </w:rPr>
        <w:t>None</w:t>
      </w:r>
    </w:p>
    <w:p w14:paraId="4F843369" w14:textId="3D4F6214" w:rsidR="00615192" w:rsidRPr="00A7695C" w:rsidRDefault="00615192" w:rsidP="00070B27">
      <w:pPr>
        <w:tabs>
          <w:tab w:val="left" w:pos="2790"/>
        </w:tabs>
        <w:ind w:left="2880" w:hanging="2160"/>
        <w:rPr>
          <w:snapToGrid w:val="0"/>
          <w:szCs w:val="24"/>
        </w:rPr>
      </w:pPr>
      <w:r w:rsidRPr="00A7695C">
        <w:rPr>
          <w:snapToGrid w:val="0"/>
          <w:szCs w:val="24"/>
          <w:u w:val="single"/>
        </w:rPr>
        <w:t>Division/Discipline</w:t>
      </w:r>
      <w:r w:rsidR="00070B27" w:rsidRPr="00A7695C">
        <w:rPr>
          <w:snapToGrid w:val="0"/>
          <w:szCs w:val="24"/>
        </w:rPr>
        <w:t>:</w:t>
      </w:r>
      <w:r w:rsidR="004F1EED" w:rsidRPr="00A7695C">
        <w:rPr>
          <w:snapToGrid w:val="0"/>
          <w:szCs w:val="24"/>
        </w:rPr>
        <w:tab/>
      </w:r>
      <w:r w:rsidR="00521333">
        <w:rPr>
          <w:snapToGrid w:val="0"/>
          <w:szCs w:val="24"/>
        </w:rPr>
        <w:tab/>
      </w:r>
      <w:r w:rsidR="008C4968" w:rsidRPr="00A7695C">
        <w:rPr>
          <w:snapToGrid w:val="0"/>
          <w:szCs w:val="24"/>
        </w:rPr>
        <w:t>Environmental Technology</w:t>
      </w:r>
    </w:p>
    <w:p w14:paraId="1DB53377" w14:textId="266EC7B7" w:rsidR="00615192" w:rsidRPr="00A7695C" w:rsidRDefault="00615192" w:rsidP="008C4968">
      <w:pPr>
        <w:ind w:left="720"/>
        <w:rPr>
          <w:snapToGrid w:val="0"/>
          <w:szCs w:val="24"/>
        </w:rPr>
      </w:pPr>
      <w:r w:rsidRPr="00A7695C">
        <w:rPr>
          <w:snapToGrid w:val="0"/>
          <w:szCs w:val="24"/>
          <w:u w:val="single"/>
        </w:rPr>
        <w:t>Course Description</w:t>
      </w:r>
      <w:r w:rsidR="008543F9" w:rsidRPr="00A7695C">
        <w:rPr>
          <w:snapToGrid w:val="0"/>
          <w:szCs w:val="24"/>
          <w:u w:val="single"/>
        </w:rPr>
        <w:t>:</w:t>
      </w:r>
      <w:r w:rsidR="00521333" w:rsidRPr="00521333">
        <w:rPr>
          <w:snapToGrid w:val="0"/>
          <w:szCs w:val="24"/>
        </w:rPr>
        <w:tab/>
      </w:r>
      <w:r w:rsidR="005C3C69" w:rsidRPr="00A7695C">
        <w:rPr>
          <w:snapToGrid w:val="0"/>
          <w:szCs w:val="24"/>
        </w:rPr>
        <w:t>This course provides a comprehensive overview of Environmental Protection Agency (EPA) and other environmental regulations and guidelines</w:t>
      </w:r>
      <w:r w:rsidR="003A09AF" w:rsidRPr="00A7695C">
        <w:rPr>
          <w:snapToGrid w:val="0"/>
          <w:szCs w:val="24"/>
        </w:rPr>
        <w:t xml:space="preserve">, </w:t>
      </w:r>
      <w:r w:rsidR="003A09AF" w:rsidRPr="00A7695C">
        <w:rPr>
          <w:szCs w:val="24"/>
        </w:rPr>
        <w:t>and interpreting standards promulgated in the Code of Federal Regulations.</w:t>
      </w:r>
      <w:r w:rsidR="005C3C69" w:rsidRPr="00A7695C">
        <w:rPr>
          <w:snapToGrid w:val="0"/>
          <w:szCs w:val="24"/>
        </w:rPr>
        <w:t xml:space="preserve"> </w:t>
      </w:r>
      <w:r w:rsidR="00AC77A3" w:rsidRPr="00A7695C">
        <w:rPr>
          <w:snapToGrid w:val="0"/>
          <w:szCs w:val="24"/>
        </w:rPr>
        <w:t>Th</w:t>
      </w:r>
      <w:r w:rsidR="003A09AF" w:rsidRPr="00A7695C">
        <w:rPr>
          <w:snapToGrid w:val="0"/>
          <w:szCs w:val="24"/>
        </w:rPr>
        <w:t>e</w:t>
      </w:r>
      <w:r w:rsidR="00AC77A3" w:rsidRPr="00A7695C">
        <w:rPr>
          <w:snapToGrid w:val="0"/>
          <w:szCs w:val="24"/>
        </w:rPr>
        <w:t xml:space="preserve"> course </w:t>
      </w:r>
      <w:r w:rsidR="005C3C69" w:rsidRPr="00A7695C">
        <w:rPr>
          <w:snapToGrid w:val="0"/>
          <w:szCs w:val="24"/>
        </w:rPr>
        <w:t>includ</w:t>
      </w:r>
      <w:r w:rsidR="00AC77A3" w:rsidRPr="00A7695C">
        <w:rPr>
          <w:snapToGrid w:val="0"/>
          <w:szCs w:val="24"/>
        </w:rPr>
        <w:t>es</w:t>
      </w:r>
      <w:r w:rsidR="005C3C69" w:rsidRPr="00A7695C">
        <w:rPr>
          <w:snapToGrid w:val="0"/>
          <w:szCs w:val="24"/>
        </w:rPr>
        <w:t xml:space="preserve"> </w:t>
      </w:r>
      <w:r w:rsidR="007E64D7" w:rsidRPr="00A7695C">
        <w:rPr>
          <w:snapToGrid w:val="0"/>
          <w:szCs w:val="24"/>
        </w:rPr>
        <w:t>information on the history of EPA</w:t>
      </w:r>
      <w:r w:rsidR="005C3C69" w:rsidRPr="00A7695C">
        <w:rPr>
          <w:snapToGrid w:val="0"/>
          <w:szCs w:val="24"/>
        </w:rPr>
        <w:t xml:space="preserve">, specific </w:t>
      </w:r>
      <w:r w:rsidR="007E64D7" w:rsidRPr="00A7695C">
        <w:rPr>
          <w:snapToGrid w:val="0"/>
          <w:szCs w:val="24"/>
        </w:rPr>
        <w:t xml:space="preserve">environmental </w:t>
      </w:r>
      <w:r w:rsidR="005C3C69" w:rsidRPr="00A7695C">
        <w:rPr>
          <w:snapToGrid w:val="0"/>
          <w:szCs w:val="24"/>
        </w:rPr>
        <w:t xml:space="preserve">regulations regarding surface water, air, drinking water, pollution prevention, hazardous waste, </w:t>
      </w:r>
      <w:r w:rsidR="007E64D7" w:rsidRPr="00A7695C">
        <w:rPr>
          <w:snapToGrid w:val="0"/>
          <w:szCs w:val="24"/>
        </w:rPr>
        <w:t>the Comprehensive Environmental Response, Compensation, and Liability Act of 1980 (CERCLA)</w:t>
      </w:r>
      <w:r w:rsidR="005C3C69" w:rsidRPr="00A7695C">
        <w:rPr>
          <w:snapToGrid w:val="0"/>
          <w:szCs w:val="24"/>
        </w:rPr>
        <w:t xml:space="preserve">, </w:t>
      </w:r>
      <w:r w:rsidR="007E64D7" w:rsidRPr="00A7695C">
        <w:rPr>
          <w:snapToGrid w:val="0"/>
          <w:szCs w:val="24"/>
        </w:rPr>
        <w:t xml:space="preserve">the Resource Conservation and Recovery Act (RCRA), </w:t>
      </w:r>
      <w:r w:rsidR="005C3C69" w:rsidRPr="00A7695C">
        <w:rPr>
          <w:snapToGrid w:val="0"/>
          <w:szCs w:val="24"/>
        </w:rPr>
        <w:t xml:space="preserve">and </w:t>
      </w:r>
      <w:r w:rsidR="003A09AF" w:rsidRPr="00A7695C">
        <w:rPr>
          <w:snapToGrid w:val="0"/>
          <w:szCs w:val="24"/>
        </w:rPr>
        <w:t>the Emergency Planning and Community Right-to-Know Act (EPCRA) of 1986</w:t>
      </w:r>
      <w:r w:rsidR="005C3C69" w:rsidRPr="00A7695C">
        <w:rPr>
          <w:snapToGrid w:val="0"/>
          <w:szCs w:val="24"/>
        </w:rPr>
        <w:t xml:space="preserve">. </w:t>
      </w:r>
    </w:p>
    <w:p w14:paraId="4B841A6C" w14:textId="77777777" w:rsidR="00F32344" w:rsidRPr="00A7695C" w:rsidRDefault="00F32344" w:rsidP="00653CA2">
      <w:pPr>
        <w:spacing w:before="480" w:after="200"/>
        <w:ind w:left="720" w:hanging="720"/>
        <w:rPr>
          <w:b/>
          <w:szCs w:val="24"/>
        </w:rPr>
      </w:pPr>
      <w:r w:rsidRPr="00A7695C">
        <w:rPr>
          <w:b/>
          <w:szCs w:val="24"/>
        </w:rPr>
        <w:t>II.</w:t>
      </w:r>
      <w:r w:rsidRPr="00A7695C">
        <w:rPr>
          <w:b/>
          <w:szCs w:val="24"/>
        </w:rPr>
        <w:tab/>
        <w:t>INSTRUCTOR INFORMATION</w:t>
      </w:r>
    </w:p>
    <w:p w14:paraId="25F671EF" w14:textId="77777777" w:rsidR="00552DDD" w:rsidRPr="00A7695C" w:rsidRDefault="00213C28" w:rsidP="00A5774A">
      <w:pPr>
        <w:spacing w:before="200" w:after="200"/>
        <w:rPr>
          <w:szCs w:val="24"/>
        </w:rPr>
      </w:pPr>
      <w:r w:rsidRPr="00A7695C">
        <w:rPr>
          <w:szCs w:val="24"/>
        </w:rPr>
        <w:tab/>
      </w:r>
    </w:p>
    <w:p w14:paraId="7A7DA959" w14:textId="77777777" w:rsidR="00A5774A" w:rsidRPr="00A7695C" w:rsidRDefault="00A5774A" w:rsidP="00A5774A">
      <w:pPr>
        <w:spacing w:before="200" w:after="200"/>
        <w:ind w:left="720"/>
        <w:rPr>
          <w:szCs w:val="24"/>
        </w:rPr>
      </w:pPr>
    </w:p>
    <w:p w14:paraId="41D6BF22" w14:textId="77777777" w:rsidR="00F32344" w:rsidRPr="00A7695C" w:rsidRDefault="00F32344" w:rsidP="00653CA2">
      <w:pPr>
        <w:spacing w:before="480" w:after="200"/>
        <w:rPr>
          <w:b/>
          <w:szCs w:val="24"/>
        </w:rPr>
      </w:pPr>
      <w:r w:rsidRPr="00A7695C">
        <w:rPr>
          <w:b/>
          <w:szCs w:val="24"/>
        </w:rPr>
        <w:t>III.</w:t>
      </w:r>
      <w:r w:rsidRPr="00A7695C">
        <w:rPr>
          <w:b/>
          <w:szCs w:val="24"/>
        </w:rPr>
        <w:tab/>
        <w:t>COLLEGE POLICIES</w:t>
      </w:r>
    </w:p>
    <w:p w14:paraId="666F424E" w14:textId="77777777" w:rsidR="000D28E9" w:rsidRPr="00A7695C" w:rsidRDefault="000D28E9" w:rsidP="000D28E9">
      <w:pPr>
        <w:spacing w:before="200"/>
        <w:ind w:left="720"/>
        <w:rPr>
          <w:szCs w:val="24"/>
        </w:rPr>
      </w:pPr>
      <w:r w:rsidRPr="00A7695C">
        <w:rPr>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554FAB10" w14:textId="77777777" w:rsidR="000D28E9" w:rsidRPr="00A7695C" w:rsidRDefault="000D28E9" w:rsidP="000D28E9">
      <w:pPr>
        <w:spacing w:before="200"/>
        <w:ind w:left="720"/>
        <w:rPr>
          <w:szCs w:val="24"/>
        </w:rPr>
      </w:pPr>
      <w:r w:rsidRPr="00A7695C">
        <w:rPr>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6C6260E6" w14:textId="77777777" w:rsidR="000D28E9" w:rsidRPr="00A7695C" w:rsidRDefault="000D28E9" w:rsidP="000D28E9">
      <w:pPr>
        <w:spacing w:before="200"/>
        <w:ind w:left="720"/>
        <w:rPr>
          <w:szCs w:val="24"/>
        </w:rPr>
      </w:pPr>
      <w:r w:rsidRPr="00A7695C">
        <w:rPr>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152C3A77" w14:textId="77777777" w:rsidR="000D28E9" w:rsidRPr="00A7695C" w:rsidRDefault="000D28E9" w:rsidP="000D28E9">
      <w:pPr>
        <w:spacing w:before="200"/>
        <w:ind w:left="720"/>
        <w:rPr>
          <w:szCs w:val="24"/>
        </w:rPr>
      </w:pPr>
      <w:r w:rsidRPr="00A7695C">
        <w:rPr>
          <w:szCs w:val="24"/>
        </w:rPr>
        <w:t xml:space="preserve">Any student seeking an accommodation under the provisions of the Americans with Disability Act (ADA) is to notify Student Support Services via email at Disability </w:t>
      </w:r>
      <w:hyperlink r:id="rId8" w:history="1">
        <w:r w:rsidRPr="00A7695C">
          <w:rPr>
            <w:rStyle w:val="Hyperlink"/>
            <w:szCs w:val="24"/>
          </w:rPr>
          <w:t>Services@Bartonccc.edu</w:t>
        </w:r>
      </w:hyperlink>
      <w:r w:rsidRPr="00A7695C">
        <w:rPr>
          <w:szCs w:val="24"/>
        </w:rPr>
        <w:t>.</w:t>
      </w:r>
    </w:p>
    <w:p w14:paraId="5CCB91B7" w14:textId="77777777" w:rsidR="00653CA2" w:rsidRPr="00A7695C" w:rsidRDefault="00653CA2" w:rsidP="00653CA2">
      <w:pPr>
        <w:spacing w:before="480" w:after="200"/>
        <w:ind w:left="720" w:hanging="720"/>
        <w:rPr>
          <w:b/>
          <w:szCs w:val="24"/>
        </w:rPr>
      </w:pPr>
      <w:r w:rsidRPr="00A7695C">
        <w:rPr>
          <w:b/>
          <w:szCs w:val="24"/>
        </w:rPr>
        <w:lastRenderedPageBreak/>
        <w:t>IV.</w:t>
      </w:r>
      <w:r w:rsidRPr="00A7695C">
        <w:rPr>
          <w:b/>
          <w:szCs w:val="24"/>
        </w:rPr>
        <w:tab/>
        <w:t>COURSE AS VIEWED IN THE TOTAL CURRICULUM</w:t>
      </w:r>
    </w:p>
    <w:p w14:paraId="08A1F2F3" w14:textId="337BCF48" w:rsidR="003D313E" w:rsidRPr="00A7695C" w:rsidRDefault="00CB3D5E" w:rsidP="003D313E">
      <w:pPr>
        <w:spacing w:before="200" w:after="200"/>
        <w:ind w:left="748"/>
        <w:rPr>
          <w:szCs w:val="24"/>
        </w:rPr>
      </w:pPr>
      <w:r w:rsidRPr="00CB3D5E">
        <w:rPr>
          <w:snapToGrid w:val="0"/>
          <w:szCs w:val="24"/>
        </w:rPr>
        <w:t>This course is a structured learning experience designed for the student who is currently employed in or planning to enter the Environmental Health and Safety field or similar related occupation. It is a required course for the Safety, Health, &amp; Environmental Professional (SHEP) certificate available via the OSHA Training Institute (OTI) Education Center network.</w:t>
      </w:r>
    </w:p>
    <w:p w14:paraId="47F2031B" w14:textId="77777777" w:rsidR="003D313E" w:rsidRPr="00A7695C" w:rsidRDefault="003D313E" w:rsidP="003D313E">
      <w:pPr>
        <w:spacing w:before="200" w:after="200"/>
        <w:ind w:left="720"/>
        <w:rPr>
          <w:szCs w:val="24"/>
        </w:rPr>
      </w:pPr>
      <w:r w:rsidRPr="00A7695C">
        <w:rPr>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2A6E10CE" w14:textId="77777777" w:rsidR="00653CA2" w:rsidRPr="00A7695C" w:rsidRDefault="00653CA2" w:rsidP="00653CA2">
      <w:pPr>
        <w:spacing w:before="480" w:after="200"/>
        <w:rPr>
          <w:b/>
          <w:szCs w:val="24"/>
        </w:rPr>
      </w:pPr>
      <w:r w:rsidRPr="00A7695C">
        <w:rPr>
          <w:b/>
          <w:szCs w:val="24"/>
        </w:rPr>
        <w:t>V.</w:t>
      </w:r>
      <w:r w:rsidRPr="00A7695C">
        <w:rPr>
          <w:b/>
          <w:szCs w:val="24"/>
        </w:rPr>
        <w:tab/>
        <w:t>ASSESSMENT OF STUDENT LEARNING</w:t>
      </w:r>
    </w:p>
    <w:p w14:paraId="5B877B30" w14:textId="77777777" w:rsidR="003D313E" w:rsidRPr="00A7695C" w:rsidRDefault="003D313E" w:rsidP="003D313E">
      <w:pPr>
        <w:spacing w:before="200" w:after="200"/>
        <w:ind w:left="720"/>
        <w:rPr>
          <w:szCs w:val="24"/>
        </w:rPr>
      </w:pPr>
      <w:r w:rsidRPr="00A7695C">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778DBDCC" w14:textId="77777777" w:rsidR="003D313E" w:rsidRPr="00A7695C" w:rsidRDefault="003D313E" w:rsidP="00C5442A">
      <w:pPr>
        <w:spacing w:after="200"/>
        <w:ind w:left="720"/>
        <w:rPr>
          <w:szCs w:val="24"/>
        </w:rPr>
      </w:pPr>
      <w:r w:rsidRPr="00A7695C">
        <w:rPr>
          <w:szCs w:val="24"/>
          <w:u w:val="single"/>
        </w:rPr>
        <w:t>Course Outcomes, Competencies, and Supplemental Competencies</w:t>
      </w:r>
      <w:r w:rsidRPr="00A7695C">
        <w:rPr>
          <w:szCs w:val="24"/>
        </w:rPr>
        <w:t>:</w:t>
      </w:r>
    </w:p>
    <w:p w14:paraId="13B72164" w14:textId="77777777" w:rsidR="003D313E" w:rsidRPr="00A7695C" w:rsidRDefault="003D313E" w:rsidP="003D313E">
      <w:pPr>
        <w:ind w:left="720"/>
        <w:rPr>
          <w:szCs w:val="24"/>
        </w:rPr>
      </w:pPr>
      <w:r w:rsidRPr="00A7695C">
        <w:rPr>
          <w:szCs w:val="24"/>
        </w:rPr>
        <w:t>Upon successful completion of this course the student will:</w:t>
      </w:r>
    </w:p>
    <w:p w14:paraId="7388AA8E" w14:textId="77777777" w:rsidR="00DA5F73" w:rsidRPr="00A7695C" w:rsidRDefault="00DA5F73">
      <w:pPr>
        <w:ind w:left="144" w:firstLine="576"/>
        <w:rPr>
          <w:szCs w:val="24"/>
        </w:rPr>
      </w:pPr>
    </w:p>
    <w:p w14:paraId="5D03F063" w14:textId="77777777" w:rsidR="007A3E8C" w:rsidRPr="002B76C9" w:rsidRDefault="006F6BC0" w:rsidP="003173A6">
      <w:pPr>
        <w:numPr>
          <w:ilvl w:val="0"/>
          <w:numId w:val="2"/>
        </w:numPr>
        <w:rPr>
          <w:snapToGrid w:val="0"/>
          <w:color w:val="000000" w:themeColor="text1"/>
          <w:szCs w:val="24"/>
        </w:rPr>
      </w:pPr>
      <w:r w:rsidRPr="002B76C9">
        <w:rPr>
          <w:snapToGrid w:val="0"/>
          <w:color w:val="000000" w:themeColor="text1"/>
          <w:szCs w:val="24"/>
        </w:rPr>
        <w:t xml:space="preserve">Develop the ability to analyze and interpret the Code of Federal Regulations (CFR) as related to compliance with </w:t>
      </w:r>
      <w:r w:rsidR="003173A6" w:rsidRPr="002B76C9">
        <w:rPr>
          <w:snapToGrid w:val="0"/>
          <w:color w:val="000000" w:themeColor="text1"/>
          <w:szCs w:val="24"/>
        </w:rPr>
        <w:t>the government's course of action regarding regulating the manner in which we interact with the environment.</w:t>
      </w:r>
    </w:p>
    <w:p w14:paraId="7B29E7E5" w14:textId="77777777" w:rsidR="00750BA3" w:rsidRPr="002B76C9" w:rsidRDefault="006F6BC0" w:rsidP="00B13034">
      <w:pPr>
        <w:numPr>
          <w:ilvl w:val="0"/>
          <w:numId w:val="5"/>
        </w:numPr>
        <w:rPr>
          <w:snapToGrid w:val="0"/>
          <w:color w:val="000000" w:themeColor="text1"/>
          <w:szCs w:val="24"/>
        </w:rPr>
      </w:pPr>
      <w:r w:rsidRPr="002B76C9">
        <w:rPr>
          <w:snapToGrid w:val="0"/>
          <w:color w:val="000000" w:themeColor="text1"/>
          <w:szCs w:val="24"/>
        </w:rPr>
        <w:t xml:space="preserve">Identify, interpret, and practice application of the environmental regulations concerning </w:t>
      </w:r>
      <w:r w:rsidR="00B13034" w:rsidRPr="002B76C9">
        <w:rPr>
          <w:snapToGrid w:val="0"/>
          <w:color w:val="000000" w:themeColor="text1"/>
          <w:szCs w:val="24"/>
        </w:rPr>
        <w:t xml:space="preserve">specific environmental regulations regarding surface water, air, drinking water, pollution prevention, hazardous waste, and emergency planning </w:t>
      </w:r>
      <w:r w:rsidR="0075405D" w:rsidRPr="002B76C9">
        <w:rPr>
          <w:snapToGrid w:val="0"/>
          <w:color w:val="000000" w:themeColor="text1"/>
          <w:szCs w:val="24"/>
        </w:rPr>
        <w:t>for chemical releases</w:t>
      </w:r>
      <w:r w:rsidR="00B13034" w:rsidRPr="002B76C9">
        <w:rPr>
          <w:snapToGrid w:val="0"/>
          <w:color w:val="000000" w:themeColor="text1"/>
          <w:szCs w:val="24"/>
        </w:rPr>
        <w:t>.</w:t>
      </w:r>
      <w:r w:rsidRPr="002B76C9">
        <w:rPr>
          <w:snapToGrid w:val="0"/>
          <w:color w:val="000000" w:themeColor="text1"/>
          <w:szCs w:val="24"/>
        </w:rPr>
        <w:t xml:space="preserve"> </w:t>
      </w:r>
    </w:p>
    <w:p w14:paraId="11B2258B" w14:textId="77777777" w:rsidR="00CD1FE8" w:rsidRPr="002B76C9" w:rsidRDefault="00CD1FE8" w:rsidP="00CD1FE8">
      <w:pPr>
        <w:pStyle w:val="ListParagraph"/>
        <w:numPr>
          <w:ilvl w:val="0"/>
          <w:numId w:val="5"/>
        </w:numPr>
        <w:tabs>
          <w:tab w:val="left" w:pos="720"/>
        </w:tabs>
        <w:spacing w:after="200" w:line="276" w:lineRule="auto"/>
        <w:rPr>
          <w:color w:val="000000" w:themeColor="text1"/>
          <w:szCs w:val="24"/>
        </w:rPr>
      </w:pPr>
      <w:r w:rsidRPr="002B76C9">
        <w:rPr>
          <w:color w:val="000000" w:themeColor="text1"/>
          <w:szCs w:val="24"/>
        </w:rPr>
        <w:t xml:space="preserve">Identify the CFR sources for hazardous materials/chemicals handling, storage, </w:t>
      </w:r>
      <w:r w:rsidR="000629B4" w:rsidRPr="002B76C9">
        <w:rPr>
          <w:color w:val="000000" w:themeColor="text1"/>
          <w:szCs w:val="24"/>
        </w:rPr>
        <w:t>utilization, and transportation</w:t>
      </w:r>
      <w:r w:rsidRPr="002B76C9">
        <w:rPr>
          <w:color w:val="000000" w:themeColor="text1"/>
          <w:szCs w:val="24"/>
        </w:rPr>
        <w:t>.</w:t>
      </w:r>
    </w:p>
    <w:p w14:paraId="7A5707F4" w14:textId="77777777" w:rsidR="00CD1FE8" w:rsidRPr="002B76C9" w:rsidRDefault="00CD1FE8" w:rsidP="00CD1FE8">
      <w:pPr>
        <w:pStyle w:val="ListParagraph"/>
        <w:numPr>
          <w:ilvl w:val="0"/>
          <w:numId w:val="5"/>
        </w:numPr>
        <w:spacing w:before="180" w:after="180"/>
        <w:rPr>
          <w:bCs/>
          <w:color w:val="000000" w:themeColor="text1"/>
          <w:szCs w:val="24"/>
          <w:lang w:val="en"/>
        </w:rPr>
      </w:pPr>
      <w:r w:rsidRPr="002B76C9">
        <w:rPr>
          <w:bCs/>
          <w:color w:val="000000" w:themeColor="text1"/>
          <w:szCs w:val="24"/>
          <w:lang w:val="en"/>
        </w:rPr>
        <w:t>Identify regulatory controls for various sources of pollutants in air, water and on land.</w:t>
      </w:r>
    </w:p>
    <w:p w14:paraId="77D92043" w14:textId="77777777" w:rsidR="00257A37" w:rsidRPr="00A7695C" w:rsidRDefault="006F6BC0" w:rsidP="000C3D82">
      <w:pPr>
        <w:numPr>
          <w:ilvl w:val="0"/>
          <w:numId w:val="2"/>
        </w:numPr>
        <w:rPr>
          <w:snapToGrid w:val="0"/>
          <w:szCs w:val="24"/>
        </w:rPr>
      </w:pPr>
      <w:r w:rsidRPr="002B76C9">
        <w:rPr>
          <w:snapToGrid w:val="0"/>
          <w:color w:val="000000" w:themeColor="text1"/>
          <w:szCs w:val="24"/>
        </w:rPr>
        <w:t xml:space="preserve">Develop an understanding of the 1990 Clean </w:t>
      </w:r>
      <w:r w:rsidRPr="00A7695C">
        <w:rPr>
          <w:snapToGrid w:val="0"/>
          <w:szCs w:val="24"/>
        </w:rPr>
        <w:t xml:space="preserve">Air Amendments (CAAA) and its impact on affected business and industry.  </w:t>
      </w:r>
    </w:p>
    <w:p w14:paraId="5FB797A9" w14:textId="77777777" w:rsidR="00257A37" w:rsidRPr="00A7695C" w:rsidRDefault="006F6BC0" w:rsidP="000C3D82">
      <w:pPr>
        <w:numPr>
          <w:ilvl w:val="0"/>
          <w:numId w:val="6"/>
        </w:numPr>
        <w:rPr>
          <w:snapToGrid w:val="0"/>
          <w:szCs w:val="24"/>
        </w:rPr>
      </w:pPr>
      <w:r w:rsidRPr="00A7695C">
        <w:rPr>
          <w:szCs w:val="24"/>
        </w:rPr>
        <w:t>Describe the National Ambient Air Quality Standards (NAAQS) criteria pollutants specifically regulated by CAAA</w:t>
      </w:r>
      <w:r w:rsidR="00750BA3" w:rsidRPr="00A7695C">
        <w:rPr>
          <w:snapToGrid w:val="0"/>
          <w:szCs w:val="24"/>
        </w:rPr>
        <w:t>.</w:t>
      </w:r>
    </w:p>
    <w:p w14:paraId="214208D6" w14:textId="77777777" w:rsidR="006F6BC0" w:rsidRPr="00A7695C" w:rsidRDefault="006F6BC0" w:rsidP="00CB4945">
      <w:pPr>
        <w:pStyle w:val="ListParagraph"/>
        <w:numPr>
          <w:ilvl w:val="0"/>
          <w:numId w:val="6"/>
        </w:numPr>
        <w:tabs>
          <w:tab w:val="left" w:pos="720"/>
        </w:tabs>
        <w:spacing w:after="200" w:line="276" w:lineRule="auto"/>
        <w:rPr>
          <w:snapToGrid w:val="0"/>
          <w:szCs w:val="24"/>
        </w:rPr>
      </w:pPr>
      <w:r w:rsidRPr="00A7695C">
        <w:rPr>
          <w:szCs w:val="24"/>
        </w:rPr>
        <w:t>Describe the CAAA Title system.</w:t>
      </w:r>
    </w:p>
    <w:p w14:paraId="7D59B66E" w14:textId="77777777" w:rsidR="007A3E8C" w:rsidRPr="00A7695C" w:rsidRDefault="00664346" w:rsidP="000C3D82">
      <w:pPr>
        <w:numPr>
          <w:ilvl w:val="0"/>
          <w:numId w:val="2"/>
        </w:numPr>
        <w:rPr>
          <w:snapToGrid w:val="0"/>
          <w:szCs w:val="24"/>
        </w:rPr>
      </w:pPr>
      <w:r w:rsidRPr="00A7695C">
        <w:rPr>
          <w:snapToGrid w:val="0"/>
          <w:szCs w:val="24"/>
        </w:rPr>
        <w:t xml:space="preserve">Develop an understanding of the Clean Water Act and its impact on affected business and industry. </w:t>
      </w:r>
    </w:p>
    <w:p w14:paraId="75B89F1B" w14:textId="77777777" w:rsidR="00750BA3" w:rsidRPr="00A7695C" w:rsidRDefault="00664346" w:rsidP="000C3D82">
      <w:pPr>
        <w:numPr>
          <w:ilvl w:val="0"/>
          <w:numId w:val="7"/>
        </w:numPr>
        <w:rPr>
          <w:snapToGrid w:val="0"/>
          <w:szCs w:val="24"/>
        </w:rPr>
      </w:pPr>
      <w:r w:rsidRPr="00A7695C">
        <w:rPr>
          <w:snapToGrid w:val="0"/>
          <w:szCs w:val="24"/>
        </w:rPr>
        <w:t>Differentiate between Effluent Limitation Standards and Pretreatment Standards</w:t>
      </w:r>
      <w:r w:rsidR="00750BA3" w:rsidRPr="00A7695C">
        <w:rPr>
          <w:snapToGrid w:val="0"/>
          <w:szCs w:val="24"/>
        </w:rPr>
        <w:t>.</w:t>
      </w:r>
    </w:p>
    <w:p w14:paraId="46BCC678" w14:textId="77777777" w:rsidR="00664346" w:rsidRPr="00A7695C" w:rsidRDefault="00664346" w:rsidP="000C3D82">
      <w:pPr>
        <w:numPr>
          <w:ilvl w:val="0"/>
          <w:numId w:val="7"/>
        </w:numPr>
        <w:rPr>
          <w:snapToGrid w:val="0"/>
          <w:szCs w:val="24"/>
        </w:rPr>
      </w:pPr>
      <w:r w:rsidRPr="00A7695C">
        <w:rPr>
          <w:szCs w:val="24"/>
        </w:rPr>
        <w:lastRenderedPageBreak/>
        <w:t>Identify and describe the applicability of five types of permits under the National Pollutant Discharge Elimination System (NPDES).</w:t>
      </w:r>
    </w:p>
    <w:p w14:paraId="5316C694" w14:textId="77777777" w:rsidR="00664346" w:rsidRPr="002B76C9" w:rsidRDefault="00664346" w:rsidP="00664346">
      <w:pPr>
        <w:pStyle w:val="ListParagraph"/>
        <w:numPr>
          <w:ilvl w:val="0"/>
          <w:numId w:val="7"/>
        </w:numPr>
        <w:tabs>
          <w:tab w:val="left" w:pos="720"/>
        </w:tabs>
        <w:spacing w:after="200"/>
        <w:rPr>
          <w:szCs w:val="24"/>
        </w:rPr>
      </w:pPr>
      <w:r w:rsidRPr="002B76C9">
        <w:rPr>
          <w:szCs w:val="24"/>
        </w:rPr>
        <w:t>Identify categories of facilities considered to be engaging in potential storm water discharge associated with industrial activity.</w:t>
      </w:r>
    </w:p>
    <w:p w14:paraId="2BCD0591" w14:textId="77777777" w:rsidR="0076523C" w:rsidRPr="002B76C9" w:rsidRDefault="0076523C" w:rsidP="00E10E89">
      <w:pPr>
        <w:numPr>
          <w:ilvl w:val="0"/>
          <w:numId w:val="2"/>
        </w:numPr>
        <w:rPr>
          <w:bCs/>
          <w:szCs w:val="24"/>
          <w:lang w:val="en"/>
        </w:rPr>
      </w:pPr>
      <w:r w:rsidRPr="002B76C9">
        <w:rPr>
          <w:bCs/>
          <w:szCs w:val="24"/>
          <w:lang w:val="en"/>
        </w:rPr>
        <w:t xml:space="preserve">Identify and describe the scope of </w:t>
      </w:r>
      <w:r w:rsidR="006D53A6" w:rsidRPr="002B76C9">
        <w:rPr>
          <w:bCs/>
          <w:szCs w:val="24"/>
          <w:lang w:val="en"/>
        </w:rPr>
        <w:t>solid waste and hazardous chemical management</w:t>
      </w:r>
      <w:r w:rsidRPr="002B76C9">
        <w:rPr>
          <w:bCs/>
          <w:szCs w:val="24"/>
          <w:lang w:val="en"/>
        </w:rPr>
        <w:t xml:space="preserve"> </w:t>
      </w:r>
      <w:r w:rsidR="00B0240C" w:rsidRPr="002B76C9">
        <w:rPr>
          <w:bCs/>
          <w:szCs w:val="24"/>
          <w:lang w:val="en"/>
        </w:rPr>
        <w:t>laws.</w:t>
      </w:r>
    </w:p>
    <w:p w14:paraId="735B516E" w14:textId="77777777" w:rsidR="00562D41" w:rsidRPr="002B76C9" w:rsidRDefault="00562D41" w:rsidP="000629B4">
      <w:pPr>
        <w:numPr>
          <w:ilvl w:val="0"/>
          <w:numId w:val="27"/>
        </w:numPr>
        <w:rPr>
          <w:snapToGrid w:val="0"/>
          <w:szCs w:val="24"/>
        </w:rPr>
      </w:pPr>
      <w:r w:rsidRPr="002B76C9">
        <w:rPr>
          <w:snapToGrid w:val="0"/>
          <w:szCs w:val="24"/>
        </w:rPr>
        <w:t xml:space="preserve">Outline the </w:t>
      </w:r>
      <w:r w:rsidR="006D53A6" w:rsidRPr="002B76C9">
        <w:rPr>
          <w:snapToGrid w:val="0"/>
          <w:szCs w:val="24"/>
        </w:rPr>
        <w:t>o</w:t>
      </w:r>
      <w:r w:rsidRPr="002B76C9">
        <w:rPr>
          <w:snapToGrid w:val="0"/>
          <w:szCs w:val="24"/>
        </w:rPr>
        <w:t xml:space="preserve">bjectives of the </w:t>
      </w:r>
      <w:r w:rsidR="006D53A6" w:rsidRPr="002B76C9">
        <w:rPr>
          <w:snapToGrid w:val="0"/>
          <w:szCs w:val="24"/>
        </w:rPr>
        <w:t>Comprehensive Environmental Response, Compensation, and Liability Act of 1980 (CERCLA), the Resource Conservation and Recovery Act (RCRA), and the Emergency Planning and Community Right-to-Know Act (EPCRA) of 1986.</w:t>
      </w:r>
    </w:p>
    <w:p w14:paraId="114FED4A" w14:textId="77777777" w:rsidR="00280EE2" w:rsidRPr="002B76C9" w:rsidRDefault="00280EE2" w:rsidP="000629B4">
      <w:pPr>
        <w:numPr>
          <w:ilvl w:val="0"/>
          <w:numId w:val="27"/>
        </w:numPr>
        <w:rPr>
          <w:snapToGrid w:val="0"/>
          <w:szCs w:val="24"/>
        </w:rPr>
      </w:pPr>
      <w:r w:rsidRPr="002B76C9">
        <w:rPr>
          <w:snapToGrid w:val="0"/>
          <w:szCs w:val="24"/>
        </w:rPr>
        <w:t>List and explain potential sources</w:t>
      </w:r>
      <w:r w:rsidR="00F3101B" w:rsidRPr="002B76C9">
        <w:rPr>
          <w:snapToGrid w:val="0"/>
          <w:szCs w:val="24"/>
        </w:rPr>
        <w:t xml:space="preserve"> pollution sources impacting clean air, clean water, and drinking water.</w:t>
      </w:r>
    </w:p>
    <w:p w14:paraId="424EDAF7" w14:textId="77777777" w:rsidR="00562D41" w:rsidRPr="002B76C9" w:rsidRDefault="00562D41" w:rsidP="000629B4">
      <w:pPr>
        <w:numPr>
          <w:ilvl w:val="0"/>
          <w:numId w:val="27"/>
        </w:numPr>
        <w:rPr>
          <w:bCs/>
          <w:szCs w:val="24"/>
          <w:lang w:val="en"/>
        </w:rPr>
      </w:pPr>
      <w:r w:rsidRPr="002B76C9">
        <w:rPr>
          <w:snapToGrid w:val="0"/>
          <w:szCs w:val="24"/>
        </w:rPr>
        <w:t>Explain</w:t>
      </w:r>
      <w:r w:rsidRPr="002B76C9">
        <w:rPr>
          <w:bCs/>
          <w:szCs w:val="24"/>
          <w:lang w:val="en"/>
        </w:rPr>
        <w:t xml:space="preserve"> the </w:t>
      </w:r>
      <w:r w:rsidR="00E10E89" w:rsidRPr="002B76C9">
        <w:rPr>
          <w:bCs/>
          <w:szCs w:val="24"/>
          <w:lang w:val="en"/>
        </w:rPr>
        <w:t>scope of the Toxic Substance Control Act.</w:t>
      </w:r>
    </w:p>
    <w:p w14:paraId="66332094" w14:textId="77777777" w:rsidR="00615192" w:rsidRPr="00A7695C" w:rsidRDefault="00615192">
      <w:pPr>
        <w:rPr>
          <w:szCs w:val="24"/>
        </w:rPr>
      </w:pPr>
    </w:p>
    <w:p w14:paraId="5275A85A" w14:textId="77777777" w:rsidR="00653CA2" w:rsidRPr="00A7695C" w:rsidRDefault="00653CA2" w:rsidP="007B1AD3">
      <w:pPr>
        <w:spacing w:before="480" w:after="200"/>
        <w:ind w:right="720"/>
        <w:rPr>
          <w:b/>
          <w:szCs w:val="24"/>
        </w:rPr>
      </w:pPr>
      <w:r w:rsidRPr="00A7695C">
        <w:rPr>
          <w:b/>
          <w:szCs w:val="24"/>
        </w:rPr>
        <w:t>VI.</w:t>
      </w:r>
      <w:r w:rsidRPr="00A7695C">
        <w:rPr>
          <w:b/>
          <w:szCs w:val="24"/>
        </w:rPr>
        <w:tab/>
        <w:t>INSTRUCTOR’S EXPECTATIONS OF STUDENTS IN CLASS</w:t>
      </w:r>
    </w:p>
    <w:p w14:paraId="06C875B1" w14:textId="77777777" w:rsidR="00653CA2" w:rsidRPr="00A7695C" w:rsidRDefault="00653CA2" w:rsidP="00653CA2">
      <w:pPr>
        <w:spacing w:before="200"/>
        <w:ind w:right="720"/>
        <w:rPr>
          <w:b/>
          <w:szCs w:val="24"/>
        </w:rPr>
      </w:pPr>
    </w:p>
    <w:p w14:paraId="5357B77B" w14:textId="77777777" w:rsidR="00653CA2" w:rsidRPr="00A7695C" w:rsidRDefault="00653CA2" w:rsidP="007B1AD3">
      <w:pPr>
        <w:spacing w:before="480" w:after="200"/>
        <w:ind w:right="720"/>
        <w:rPr>
          <w:b/>
          <w:szCs w:val="24"/>
        </w:rPr>
      </w:pPr>
      <w:r w:rsidRPr="00A7695C">
        <w:rPr>
          <w:b/>
          <w:szCs w:val="24"/>
        </w:rPr>
        <w:t>VII.</w:t>
      </w:r>
      <w:r w:rsidRPr="00A7695C">
        <w:rPr>
          <w:b/>
          <w:szCs w:val="24"/>
        </w:rPr>
        <w:tab/>
        <w:t>TEXTBOOKS AND OTHER REQUIRED MATERIALS</w:t>
      </w:r>
    </w:p>
    <w:p w14:paraId="6726BBA7" w14:textId="77777777" w:rsidR="00653CA2" w:rsidRPr="00A7695C" w:rsidRDefault="00653CA2" w:rsidP="00653CA2">
      <w:pPr>
        <w:spacing w:before="200"/>
        <w:ind w:right="720"/>
        <w:rPr>
          <w:b/>
          <w:szCs w:val="24"/>
        </w:rPr>
      </w:pPr>
    </w:p>
    <w:p w14:paraId="53F9EAEE" w14:textId="77777777" w:rsidR="00653CA2" w:rsidRPr="00A7695C" w:rsidRDefault="00653CA2" w:rsidP="007B1AD3">
      <w:pPr>
        <w:spacing w:before="480" w:after="200"/>
        <w:ind w:right="720"/>
        <w:rPr>
          <w:b/>
          <w:szCs w:val="24"/>
        </w:rPr>
      </w:pPr>
      <w:r w:rsidRPr="00A7695C">
        <w:rPr>
          <w:b/>
          <w:szCs w:val="24"/>
        </w:rPr>
        <w:t>VIII.</w:t>
      </w:r>
      <w:r w:rsidRPr="00A7695C">
        <w:rPr>
          <w:b/>
          <w:szCs w:val="24"/>
        </w:rPr>
        <w:tab/>
        <w:t>REFERENCES</w:t>
      </w:r>
    </w:p>
    <w:p w14:paraId="35B69091" w14:textId="77777777" w:rsidR="00653CA2" w:rsidRPr="00A7695C" w:rsidRDefault="00653CA2" w:rsidP="00653CA2">
      <w:pPr>
        <w:spacing w:before="200"/>
        <w:ind w:right="720"/>
        <w:rPr>
          <w:b/>
          <w:szCs w:val="24"/>
        </w:rPr>
      </w:pPr>
    </w:p>
    <w:p w14:paraId="37D4D7ED" w14:textId="77777777" w:rsidR="00653CA2" w:rsidRPr="00A7695C" w:rsidRDefault="00653CA2" w:rsidP="007B1AD3">
      <w:pPr>
        <w:spacing w:before="480" w:after="200"/>
        <w:ind w:right="720"/>
        <w:rPr>
          <w:b/>
          <w:szCs w:val="24"/>
        </w:rPr>
      </w:pPr>
      <w:r w:rsidRPr="00A7695C">
        <w:rPr>
          <w:b/>
          <w:szCs w:val="24"/>
        </w:rPr>
        <w:t>IX.</w:t>
      </w:r>
      <w:r w:rsidRPr="00A7695C">
        <w:rPr>
          <w:b/>
          <w:szCs w:val="24"/>
        </w:rPr>
        <w:tab/>
        <w:t>METHODS OF INSTRUCTION AND EVALUATION</w:t>
      </w:r>
    </w:p>
    <w:p w14:paraId="7B6C8359" w14:textId="77777777" w:rsidR="00615192" w:rsidRPr="00A7695C" w:rsidRDefault="00615192" w:rsidP="00A7695C">
      <w:pPr>
        <w:spacing w:before="200"/>
        <w:ind w:right="720"/>
        <w:rPr>
          <w:b/>
          <w:snapToGrid w:val="0"/>
          <w:szCs w:val="24"/>
        </w:rPr>
      </w:pPr>
    </w:p>
    <w:p w14:paraId="0CF7EEE3" w14:textId="77777777" w:rsidR="00653CA2" w:rsidRPr="00A7695C" w:rsidRDefault="00653CA2" w:rsidP="007B1AD3">
      <w:pPr>
        <w:spacing w:before="480" w:after="200"/>
        <w:ind w:right="720"/>
        <w:rPr>
          <w:b/>
          <w:szCs w:val="24"/>
        </w:rPr>
      </w:pPr>
      <w:r w:rsidRPr="00A7695C">
        <w:rPr>
          <w:b/>
          <w:szCs w:val="24"/>
        </w:rPr>
        <w:t>X.</w:t>
      </w:r>
      <w:r w:rsidRPr="00A7695C">
        <w:rPr>
          <w:b/>
          <w:szCs w:val="24"/>
        </w:rPr>
        <w:tab/>
        <w:t>ATTENDANCE REQUIREMENTS</w:t>
      </w:r>
    </w:p>
    <w:p w14:paraId="1E943031" w14:textId="77777777" w:rsidR="00653CA2" w:rsidRPr="00A7695C" w:rsidRDefault="00653CA2" w:rsidP="00653CA2">
      <w:pPr>
        <w:spacing w:before="200"/>
        <w:ind w:right="720"/>
        <w:rPr>
          <w:b/>
          <w:szCs w:val="24"/>
        </w:rPr>
      </w:pPr>
    </w:p>
    <w:p w14:paraId="36098458" w14:textId="77777777" w:rsidR="00653CA2" w:rsidRPr="00A7695C" w:rsidRDefault="00653CA2" w:rsidP="007B1AD3">
      <w:pPr>
        <w:spacing w:before="480" w:after="200"/>
        <w:ind w:right="720"/>
        <w:rPr>
          <w:b/>
          <w:szCs w:val="24"/>
        </w:rPr>
      </w:pPr>
      <w:r w:rsidRPr="00A7695C">
        <w:rPr>
          <w:b/>
          <w:szCs w:val="24"/>
        </w:rPr>
        <w:t>XI.</w:t>
      </w:r>
      <w:r w:rsidRPr="00A7695C">
        <w:rPr>
          <w:b/>
          <w:szCs w:val="24"/>
        </w:rPr>
        <w:tab/>
        <w:t>COURSE OUTLINE</w:t>
      </w:r>
    </w:p>
    <w:p w14:paraId="2626F4D1" w14:textId="77777777" w:rsidR="00653CA2" w:rsidRPr="0070651F" w:rsidRDefault="00653CA2" w:rsidP="00653CA2">
      <w:pPr>
        <w:spacing w:before="200"/>
        <w:ind w:right="720"/>
        <w:rPr>
          <w:b/>
          <w:szCs w:val="24"/>
        </w:rPr>
      </w:pPr>
    </w:p>
    <w:sectPr w:rsidR="00653CA2" w:rsidRPr="0070651F" w:rsidSect="00803AC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BDB29" w14:textId="77777777" w:rsidR="007325A3" w:rsidRDefault="007325A3" w:rsidP="001F0C6D">
      <w:r>
        <w:separator/>
      </w:r>
    </w:p>
  </w:endnote>
  <w:endnote w:type="continuationSeparator" w:id="0">
    <w:p w14:paraId="0C9ECF3B" w14:textId="77777777" w:rsidR="007325A3" w:rsidRDefault="007325A3"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A901" w14:textId="77777777" w:rsidR="007325A3" w:rsidRDefault="007325A3" w:rsidP="001F0C6D">
      <w:r>
        <w:separator/>
      </w:r>
    </w:p>
  </w:footnote>
  <w:footnote w:type="continuationSeparator" w:id="0">
    <w:p w14:paraId="4996932F" w14:textId="77777777" w:rsidR="007325A3" w:rsidRDefault="007325A3" w:rsidP="001F0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425"/>
    <w:multiLevelType w:val="hybridMultilevel"/>
    <w:tmpl w:val="83E2F09C"/>
    <w:lvl w:ilvl="0" w:tplc="CE66D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20265"/>
    <w:multiLevelType w:val="hybridMultilevel"/>
    <w:tmpl w:val="C032CBFC"/>
    <w:lvl w:ilvl="0" w:tplc="E9502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234BB"/>
    <w:multiLevelType w:val="hybridMultilevel"/>
    <w:tmpl w:val="F36058D8"/>
    <w:lvl w:ilvl="0" w:tplc="58C87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77467"/>
    <w:multiLevelType w:val="hybridMultilevel"/>
    <w:tmpl w:val="98D4A2E6"/>
    <w:lvl w:ilvl="0" w:tplc="D9AC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51006"/>
    <w:multiLevelType w:val="hybridMultilevel"/>
    <w:tmpl w:val="CF188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482FEB"/>
    <w:multiLevelType w:val="hybridMultilevel"/>
    <w:tmpl w:val="D1E0FB1C"/>
    <w:lvl w:ilvl="0" w:tplc="412A7C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57022F"/>
    <w:multiLevelType w:val="hybridMultilevel"/>
    <w:tmpl w:val="B67063FE"/>
    <w:lvl w:ilvl="0" w:tplc="12D27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7E0F55"/>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3C0999"/>
    <w:multiLevelType w:val="hybridMultilevel"/>
    <w:tmpl w:val="49E425EC"/>
    <w:lvl w:ilvl="0" w:tplc="69F8D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D82C93"/>
    <w:multiLevelType w:val="hybridMultilevel"/>
    <w:tmpl w:val="70E23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BC55DA"/>
    <w:multiLevelType w:val="hybridMultilevel"/>
    <w:tmpl w:val="89669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D51A60"/>
    <w:multiLevelType w:val="hybridMultilevel"/>
    <w:tmpl w:val="2138E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AD3F5A"/>
    <w:multiLevelType w:val="hybridMultilevel"/>
    <w:tmpl w:val="29D4F1C2"/>
    <w:lvl w:ilvl="0" w:tplc="931AB9E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6C226B"/>
    <w:multiLevelType w:val="hybridMultilevel"/>
    <w:tmpl w:val="09787F54"/>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3376B7"/>
    <w:multiLevelType w:val="hybridMultilevel"/>
    <w:tmpl w:val="312CE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610DF4"/>
    <w:multiLevelType w:val="hybridMultilevel"/>
    <w:tmpl w:val="9646A12C"/>
    <w:lvl w:ilvl="0" w:tplc="2020CD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766876"/>
    <w:multiLevelType w:val="hybridMultilevel"/>
    <w:tmpl w:val="5030C06E"/>
    <w:lvl w:ilvl="0" w:tplc="53A40E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0143D3"/>
    <w:multiLevelType w:val="hybridMultilevel"/>
    <w:tmpl w:val="E1AE8E50"/>
    <w:lvl w:ilvl="0" w:tplc="1B0CF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68235065"/>
    <w:multiLevelType w:val="hybridMultilevel"/>
    <w:tmpl w:val="689EE93A"/>
    <w:lvl w:ilvl="0" w:tplc="2816510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D1C16A6"/>
    <w:multiLevelType w:val="hybridMultilevel"/>
    <w:tmpl w:val="9448F0C2"/>
    <w:lvl w:ilvl="0" w:tplc="94842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E93124"/>
    <w:multiLevelType w:val="hybridMultilevel"/>
    <w:tmpl w:val="2886FE7E"/>
    <w:lvl w:ilvl="0" w:tplc="B4022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15"/>
  </w:num>
  <w:num w:numId="4">
    <w:abstractNumId w:val="10"/>
  </w:num>
  <w:num w:numId="5">
    <w:abstractNumId w:val="21"/>
  </w:num>
  <w:num w:numId="6">
    <w:abstractNumId w:val="14"/>
  </w:num>
  <w:num w:numId="7">
    <w:abstractNumId w:val="1"/>
  </w:num>
  <w:num w:numId="8">
    <w:abstractNumId w:val="11"/>
  </w:num>
  <w:num w:numId="9">
    <w:abstractNumId w:val="5"/>
  </w:num>
  <w:num w:numId="10">
    <w:abstractNumId w:val="12"/>
  </w:num>
  <w:num w:numId="11">
    <w:abstractNumId w:val="27"/>
  </w:num>
  <w:num w:numId="12">
    <w:abstractNumId w:val="24"/>
  </w:num>
  <w:num w:numId="13">
    <w:abstractNumId w:val="17"/>
  </w:num>
  <w:num w:numId="14">
    <w:abstractNumId w:val="23"/>
  </w:num>
  <w:num w:numId="15">
    <w:abstractNumId w:val="26"/>
  </w:num>
  <w:num w:numId="16">
    <w:abstractNumId w:val="25"/>
  </w:num>
  <w:num w:numId="17">
    <w:abstractNumId w:val="20"/>
  </w:num>
  <w:num w:numId="18">
    <w:abstractNumId w:val="4"/>
  </w:num>
  <w:num w:numId="19">
    <w:abstractNumId w:val="3"/>
  </w:num>
  <w:num w:numId="20">
    <w:abstractNumId w:val="2"/>
  </w:num>
  <w:num w:numId="21">
    <w:abstractNumId w:val="0"/>
  </w:num>
  <w:num w:numId="22">
    <w:abstractNumId w:val="19"/>
  </w:num>
  <w:num w:numId="23">
    <w:abstractNumId w:val="18"/>
  </w:num>
  <w:num w:numId="24">
    <w:abstractNumId w:val="6"/>
  </w:num>
  <w:num w:numId="25">
    <w:abstractNumId w:val="7"/>
  </w:num>
  <w:num w:numId="26">
    <w:abstractNumId w:val="9"/>
  </w:num>
  <w:num w:numId="27">
    <w:abstractNumId w:val="8"/>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29B4"/>
    <w:rsid w:val="00066705"/>
    <w:rsid w:val="00067E4A"/>
    <w:rsid w:val="00070B27"/>
    <w:rsid w:val="00073C93"/>
    <w:rsid w:val="000C3D82"/>
    <w:rsid w:val="000D28E9"/>
    <w:rsid w:val="000D398F"/>
    <w:rsid w:val="000D64F7"/>
    <w:rsid w:val="000D6566"/>
    <w:rsid w:val="000F0AD9"/>
    <w:rsid w:val="000F1FB9"/>
    <w:rsid w:val="001412E7"/>
    <w:rsid w:val="00144432"/>
    <w:rsid w:val="001513A3"/>
    <w:rsid w:val="001947B3"/>
    <w:rsid w:val="001D6D6D"/>
    <w:rsid w:val="001F0AB7"/>
    <w:rsid w:val="001F0C6D"/>
    <w:rsid w:val="00206BE8"/>
    <w:rsid w:val="00210CB7"/>
    <w:rsid w:val="00213C28"/>
    <w:rsid w:val="00223691"/>
    <w:rsid w:val="00254B80"/>
    <w:rsid w:val="00257A37"/>
    <w:rsid w:val="00276D55"/>
    <w:rsid w:val="00280EE2"/>
    <w:rsid w:val="00291D89"/>
    <w:rsid w:val="002A0238"/>
    <w:rsid w:val="002B76C9"/>
    <w:rsid w:val="002D4CB8"/>
    <w:rsid w:val="003173A6"/>
    <w:rsid w:val="00360455"/>
    <w:rsid w:val="003A09AF"/>
    <w:rsid w:val="003B0C6F"/>
    <w:rsid w:val="003C0512"/>
    <w:rsid w:val="003C0DA8"/>
    <w:rsid w:val="003D313E"/>
    <w:rsid w:val="003F2F4B"/>
    <w:rsid w:val="00414281"/>
    <w:rsid w:val="004224B1"/>
    <w:rsid w:val="00443B64"/>
    <w:rsid w:val="00464D5F"/>
    <w:rsid w:val="004A21E1"/>
    <w:rsid w:val="004A42A4"/>
    <w:rsid w:val="004D3042"/>
    <w:rsid w:val="004F1EED"/>
    <w:rsid w:val="00504453"/>
    <w:rsid w:val="00521333"/>
    <w:rsid w:val="00532E81"/>
    <w:rsid w:val="00533E7E"/>
    <w:rsid w:val="00537FC6"/>
    <w:rsid w:val="00552DDD"/>
    <w:rsid w:val="005600B8"/>
    <w:rsid w:val="00562D41"/>
    <w:rsid w:val="00581CB2"/>
    <w:rsid w:val="005C1B26"/>
    <w:rsid w:val="005C3C69"/>
    <w:rsid w:val="005E245A"/>
    <w:rsid w:val="005F2DD6"/>
    <w:rsid w:val="00614502"/>
    <w:rsid w:val="00615192"/>
    <w:rsid w:val="00617349"/>
    <w:rsid w:val="006273C2"/>
    <w:rsid w:val="00636C2B"/>
    <w:rsid w:val="00653CA2"/>
    <w:rsid w:val="00662E39"/>
    <w:rsid w:val="00664346"/>
    <w:rsid w:val="00666294"/>
    <w:rsid w:val="00694741"/>
    <w:rsid w:val="006B6846"/>
    <w:rsid w:val="006D53A6"/>
    <w:rsid w:val="006E2AAD"/>
    <w:rsid w:val="006F1DB4"/>
    <w:rsid w:val="006F6BC0"/>
    <w:rsid w:val="007325A3"/>
    <w:rsid w:val="007400A0"/>
    <w:rsid w:val="00750BA3"/>
    <w:rsid w:val="0075405D"/>
    <w:rsid w:val="0076523C"/>
    <w:rsid w:val="00775BFA"/>
    <w:rsid w:val="00785CD6"/>
    <w:rsid w:val="0078761A"/>
    <w:rsid w:val="007A3E8C"/>
    <w:rsid w:val="007B1AD3"/>
    <w:rsid w:val="007B61D9"/>
    <w:rsid w:val="007E64D7"/>
    <w:rsid w:val="007F2F7F"/>
    <w:rsid w:val="007F33E0"/>
    <w:rsid w:val="00803AC6"/>
    <w:rsid w:val="00815123"/>
    <w:rsid w:val="00816CED"/>
    <w:rsid w:val="00816EE2"/>
    <w:rsid w:val="008252C1"/>
    <w:rsid w:val="008543F9"/>
    <w:rsid w:val="00860121"/>
    <w:rsid w:val="00883039"/>
    <w:rsid w:val="008961B1"/>
    <w:rsid w:val="008C4968"/>
    <w:rsid w:val="008C56D0"/>
    <w:rsid w:val="008E4FD5"/>
    <w:rsid w:val="009366AD"/>
    <w:rsid w:val="00955071"/>
    <w:rsid w:val="00961DE0"/>
    <w:rsid w:val="00982BA1"/>
    <w:rsid w:val="00985EE7"/>
    <w:rsid w:val="009B47C4"/>
    <w:rsid w:val="00A04049"/>
    <w:rsid w:val="00A07B75"/>
    <w:rsid w:val="00A17D39"/>
    <w:rsid w:val="00A54DBB"/>
    <w:rsid w:val="00A5774A"/>
    <w:rsid w:val="00A6028E"/>
    <w:rsid w:val="00A74C5E"/>
    <w:rsid w:val="00A7695C"/>
    <w:rsid w:val="00A84891"/>
    <w:rsid w:val="00AC504E"/>
    <w:rsid w:val="00AC77A3"/>
    <w:rsid w:val="00AE045A"/>
    <w:rsid w:val="00AF7920"/>
    <w:rsid w:val="00B0240C"/>
    <w:rsid w:val="00B12E24"/>
    <w:rsid w:val="00B13034"/>
    <w:rsid w:val="00B1412F"/>
    <w:rsid w:val="00B227DC"/>
    <w:rsid w:val="00B4729C"/>
    <w:rsid w:val="00B474D5"/>
    <w:rsid w:val="00BA2956"/>
    <w:rsid w:val="00BC0AFB"/>
    <w:rsid w:val="00BD1166"/>
    <w:rsid w:val="00C03A69"/>
    <w:rsid w:val="00C17E42"/>
    <w:rsid w:val="00C25FF4"/>
    <w:rsid w:val="00C26A9D"/>
    <w:rsid w:val="00C5442A"/>
    <w:rsid w:val="00C61EB9"/>
    <w:rsid w:val="00CB3BBF"/>
    <w:rsid w:val="00CB3D5E"/>
    <w:rsid w:val="00CB4945"/>
    <w:rsid w:val="00CB6FE7"/>
    <w:rsid w:val="00CD1FE8"/>
    <w:rsid w:val="00CD368B"/>
    <w:rsid w:val="00CE645D"/>
    <w:rsid w:val="00CF2C7B"/>
    <w:rsid w:val="00D279A5"/>
    <w:rsid w:val="00D5096B"/>
    <w:rsid w:val="00D569CF"/>
    <w:rsid w:val="00D56AC2"/>
    <w:rsid w:val="00D8374C"/>
    <w:rsid w:val="00DA5F73"/>
    <w:rsid w:val="00DB5C6F"/>
    <w:rsid w:val="00DE4008"/>
    <w:rsid w:val="00DF6A02"/>
    <w:rsid w:val="00E04CC5"/>
    <w:rsid w:val="00E10E89"/>
    <w:rsid w:val="00E338E4"/>
    <w:rsid w:val="00E50BC5"/>
    <w:rsid w:val="00E65461"/>
    <w:rsid w:val="00E8001C"/>
    <w:rsid w:val="00E9568E"/>
    <w:rsid w:val="00EB1801"/>
    <w:rsid w:val="00EB6102"/>
    <w:rsid w:val="00ED300D"/>
    <w:rsid w:val="00ED3232"/>
    <w:rsid w:val="00ED6087"/>
    <w:rsid w:val="00ED7CCD"/>
    <w:rsid w:val="00EF699F"/>
    <w:rsid w:val="00F20E73"/>
    <w:rsid w:val="00F2338C"/>
    <w:rsid w:val="00F26E8C"/>
    <w:rsid w:val="00F3101B"/>
    <w:rsid w:val="00F32344"/>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FB8B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character" w:styleId="CommentReference">
    <w:name w:val="annotation reference"/>
    <w:basedOn w:val="DefaultParagraphFont"/>
    <w:rsid w:val="002B76C9"/>
    <w:rPr>
      <w:sz w:val="16"/>
      <w:szCs w:val="16"/>
    </w:rPr>
  </w:style>
  <w:style w:type="paragraph" w:styleId="CommentText">
    <w:name w:val="annotation text"/>
    <w:basedOn w:val="Normal"/>
    <w:link w:val="CommentTextChar"/>
    <w:rsid w:val="002B76C9"/>
    <w:rPr>
      <w:sz w:val="20"/>
    </w:rPr>
  </w:style>
  <w:style w:type="character" w:customStyle="1" w:styleId="CommentTextChar">
    <w:name w:val="Comment Text Char"/>
    <w:basedOn w:val="DefaultParagraphFont"/>
    <w:link w:val="CommentText"/>
    <w:rsid w:val="002B76C9"/>
  </w:style>
  <w:style w:type="paragraph" w:styleId="CommentSubject">
    <w:name w:val="annotation subject"/>
    <w:basedOn w:val="CommentText"/>
    <w:next w:val="CommentText"/>
    <w:link w:val="CommentSubjectChar"/>
    <w:rsid w:val="002B76C9"/>
    <w:rPr>
      <w:b/>
      <w:bCs/>
    </w:rPr>
  </w:style>
  <w:style w:type="character" w:customStyle="1" w:styleId="CommentSubjectChar">
    <w:name w:val="Comment Subject Char"/>
    <w:basedOn w:val="CommentTextChar"/>
    <w:link w:val="CommentSubject"/>
    <w:rsid w:val="002B7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54F16-48D4-44D4-927B-01B6E593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2019-06-26T19:34:00Z</dcterms:created>
  <dcterms:modified xsi:type="dcterms:W3CDTF">2019-06-26T19:34:00Z</dcterms:modified>
</cp:coreProperties>
</file>